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890C5" w14:textId="77777777" w:rsidR="00F46358" w:rsidRDefault="00F46358" w:rsidP="00985613">
      <w:pPr>
        <w:pStyle w:val="ListParagraph"/>
        <w:rPr>
          <w:lang w:val="en-CA" w:eastAsia="en-CA"/>
        </w:rPr>
      </w:pPr>
    </w:p>
    <w:p w14:paraId="3196B540" w14:textId="77777777" w:rsidR="00F46358" w:rsidRDefault="00F46358">
      <w:pPr>
        <w:jc w:val="center"/>
        <w:rPr>
          <w:rFonts w:ascii="Calibri" w:hAnsi="Calibri" w:cs="Calibri"/>
          <w:b/>
          <w:color w:val="003366"/>
          <w:sz w:val="36"/>
          <w:szCs w:val="36"/>
          <w:lang w:val="en-CA" w:eastAsia="en-CA"/>
        </w:rPr>
      </w:pPr>
    </w:p>
    <w:p w14:paraId="7DB4305D" w14:textId="77777777" w:rsidR="00F46358" w:rsidRDefault="00F46358">
      <w:pPr>
        <w:jc w:val="center"/>
        <w:rPr>
          <w:rFonts w:ascii="Calibri" w:hAnsi="Calibri" w:cs="Calibri"/>
          <w:b/>
          <w:color w:val="003366"/>
          <w:sz w:val="36"/>
          <w:szCs w:val="36"/>
          <w:lang w:val="en-CA" w:eastAsia="en-CA"/>
        </w:rPr>
      </w:pPr>
    </w:p>
    <w:p w14:paraId="04B05101" w14:textId="77777777" w:rsidR="00B23A17" w:rsidRDefault="00E553AE">
      <w:pPr>
        <w:jc w:val="center"/>
        <w:rPr>
          <w:rFonts w:ascii="Calibri" w:hAnsi="Calibri" w:cs="Calibri"/>
          <w:b/>
          <w:color w:val="003366"/>
          <w:sz w:val="36"/>
          <w:szCs w:val="36"/>
        </w:rPr>
      </w:pPr>
      <w:r>
        <w:rPr>
          <w:rFonts w:ascii="Calibri" w:hAnsi="Calibri" w:cs="Calibri"/>
          <w:b/>
          <w:noProof/>
          <w:color w:val="003366"/>
          <w:sz w:val="36"/>
          <w:szCs w:val="36"/>
          <w:lang w:val="en-CA" w:eastAsia="en-CA"/>
        </w:rPr>
        <w:drawing>
          <wp:inline distT="0" distB="0" distL="0" distR="0" wp14:anchorId="779A8A57" wp14:editId="7EBA2E80">
            <wp:extent cx="3114675" cy="3333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114675" cy="333375"/>
                    </a:xfrm>
                    <a:prstGeom prst="rect">
                      <a:avLst/>
                    </a:prstGeom>
                    <a:solidFill>
                      <a:srgbClr val="FFFFFF"/>
                    </a:solidFill>
                    <a:ln w="9525">
                      <a:noFill/>
                      <a:miter lim="800000"/>
                      <a:headEnd/>
                      <a:tailEnd/>
                    </a:ln>
                  </pic:spPr>
                </pic:pic>
              </a:graphicData>
            </a:graphic>
          </wp:inline>
        </w:drawing>
      </w:r>
    </w:p>
    <w:p w14:paraId="7B205885" w14:textId="77777777" w:rsidR="00B23A17" w:rsidRDefault="00B23A17">
      <w:pPr>
        <w:jc w:val="center"/>
        <w:rPr>
          <w:rFonts w:ascii="Calibri" w:hAnsi="Calibri" w:cs="Calibri"/>
          <w:b/>
          <w:color w:val="003366"/>
          <w:sz w:val="36"/>
          <w:szCs w:val="36"/>
        </w:rPr>
      </w:pPr>
    </w:p>
    <w:p w14:paraId="27C3A124" w14:textId="77777777" w:rsidR="00ED13F3" w:rsidRDefault="00B23A17" w:rsidP="00ED13F3">
      <w:pPr>
        <w:jc w:val="center"/>
        <w:rPr>
          <w:rFonts w:ascii="Calibri" w:hAnsi="Calibri" w:cs="Calibri"/>
          <w:b/>
          <w:color w:val="003366"/>
          <w:sz w:val="36"/>
          <w:szCs w:val="36"/>
        </w:rPr>
      </w:pPr>
      <w:r>
        <w:rPr>
          <w:rFonts w:ascii="Calibri" w:hAnsi="Calibri" w:cs="Calibri"/>
          <w:b/>
          <w:color w:val="003366"/>
          <w:sz w:val="36"/>
          <w:szCs w:val="36"/>
        </w:rPr>
        <w:t>Gap Analysis:</w:t>
      </w:r>
    </w:p>
    <w:p w14:paraId="0CCB8508" w14:textId="78030AD6" w:rsidR="00B23A17" w:rsidRDefault="00B23A17" w:rsidP="00ED13F3">
      <w:pPr>
        <w:jc w:val="center"/>
        <w:rPr>
          <w:rFonts w:ascii="Calibri" w:hAnsi="Calibri" w:cs="Calibri"/>
          <w:b/>
          <w:color w:val="003366"/>
          <w:sz w:val="36"/>
          <w:szCs w:val="36"/>
        </w:rPr>
      </w:pPr>
      <w:r w:rsidRPr="00AE5BF6">
        <w:rPr>
          <w:rFonts w:ascii="Calibri" w:hAnsi="Calibri" w:cs="Calibri"/>
          <w:b/>
          <w:i/>
          <w:color w:val="003366"/>
          <w:sz w:val="36"/>
          <w:szCs w:val="36"/>
        </w:rPr>
        <w:t xml:space="preserve">Preventing and Addressing Abuse and Neglect of Older Adults: </w:t>
      </w:r>
      <w:r w:rsidRPr="006A535E">
        <w:rPr>
          <w:rFonts w:ascii="Calibri" w:hAnsi="Calibri" w:cs="Calibri"/>
          <w:b/>
          <w:color w:val="003366"/>
          <w:sz w:val="36"/>
          <w:szCs w:val="36"/>
        </w:rPr>
        <w:t>Person-</w:t>
      </w:r>
      <w:proofErr w:type="spellStart"/>
      <w:r w:rsidRPr="006A535E">
        <w:rPr>
          <w:rFonts w:ascii="Calibri" w:hAnsi="Calibri" w:cs="Calibri"/>
          <w:b/>
          <w:color w:val="003366"/>
          <w:sz w:val="36"/>
          <w:szCs w:val="36"/>
        </w:rPr>
        <w:t>Centred</w:t>
      </w:r>
      <w:proofErr w:type="spellEnd"/>
      <w:r w:rsidRPr="006A535E">
        <w:rPr>
          <w:rFonts w:ascii="Calibri" w:hAnsi="Calibri" w:cs="Calibri"/>
          <w:b/>
          <w:color w:val="003366"/>
          <w:sz w:val="36"/>
          <w:szCs w:val="36"/>
        </w:rPr>
        <w:t>, Collaborative, System-Wide Approaches</w:t>
      </w:r>
      <w:r>
        <w:rPr>
          <w:rFonts w:ascii="Calibri" w:hAnsi="Calibri" w:cs="Calibri"/>
          <w:b/>
          <w:color w:val="003366"/>
          <w:sz w:val="36"/>
          <w:szCs w:val="36"/>
        </w:rPr>
        <w:t>, July 2014</w:t>
      </w:r>
    </w:p>
    <w:p w14:paraId="66DAAD53" w14:textId="77777777" w:rsidR="00ED13F3" w:rsidRDefault="00ED13F3">
      <w:pPr>
        <w:jc w:val="center"/>
        <w:rPr>
          <w:rFonts w:ascii="Calibri" w:hAnsi="Calibri" w:cs="Calibri"/>
          <w:b/>
          <w:color w:val="003366"/>
          <w:sz w:val="36"/>
          <w:szCs w:val="36"/>
        </w:rPr>
      </w:pPr>
    </w:p>
    <w:p w14:paraId="76BB4564" w14:textId="29E7AA87" w:rsidR="00B23A17" w:rsidRDefault="00B23A17">
      <w:pPr>
        <w:jc w:val="center"/>
        <w:rPr>
          <w:rFonts w:ascii="Calibri" w:hAnsi="Calibri" w:cs="Calibri"/>
          <w:b/>
          <w:color w:val="003366"/>
          <w:sz w:val="36"/>
          <w:szCs w:val="36"/>
        </w:rPr>
      </w:pPr>
      <w:r>
        <w:rPr>
          <w:rFonts w:ascii="Calibri" w:hAnsi="Calibri" w:cs="Calibri"/>
          <w:b/>
          <w:color w:val="003366"/>
          <w:sz w:val="36"/>
          <w:szCs w:val="36"/>
        </w:rPr>
        <w:t>Work Sheet</w:t>
      </w:r>
      <w:r w:rsidR="003F658D">
        <w:rPr>
          <w:rFonts w:ascii="Calibri" w:hAnsi="Calibri" w:cs="Calibri"/>
          <w:b/>
          <w:color w:val="003366"/>
          <w:sz w:val="36"/>
          <w:szCs w:val="36"/>
        </w:rPr>
        <w:t xml:space="preserve"> (Updated Ju</w:t>
      </w:r>
      <w:r w:rsidR="00ED13F3">
        <w:rPr>
          <w:rFonts w:ascii="Calibri" w:hAnsi="Calibri" w:cs="Calibri"/>
          <w:b/>
          <w:color w:val="003366"/>
          <w:sz w:val="36"/>
          <w:szCs w:val="36"/>
        </w:rPr>
        <w:t>ly</w:t>
      </w:r>
      <w:r w:rsidR="003F658D">
        <w:rPr>
          <w:rFonts w:ascii="Calibri" w:hAnsi="Calibri" w:cs="Calibri"/>
          <w:b/>
          <w:color w:val="003366"/>
          <w:sz w:val="36"/>
          <w:szCs w:val="36"/>
        </w:rPr>
        <w:t xml:space="preserve"> 2022)</w:t>
      </w:r>
    </w:p>
    <w:p w14:paraId="09620418" w14:textId="77777777" w:rsidR="00B23A17" w:rsidRDefault="00B23A17">
      <w:pPr>
        <w:jc w:val="center"/>
        <w:rPr>
          <w:rFonts w:ascii="Calibri" w:hAnsi="Calibri" w:cs="Calibri"/>
          <w:b/>
          <w:color w:val="003366"/>
          <w:sz w:val="36"/>
          <w:szCs w:val="36"/>
        </w:rPr>
      </w:pPr>
    </w:p>
    <w:p w14:paraId="1043BC74" w14:textId="77777777" w:rsidR="00B23A17" w:rsidRDefault="00E553AE">
      <w:pPr>
        <w:jc w:val="center"/>
        <w:rPr>
          <w:rFonts w:ascii="Calibri" w:hAnsi="Calibri" w:cs="Calibri"/>
          <w:b/>
          <w:color w:val="003366"/>
          <w:sz w:val="36"/>
          <w:szCs w:val="36"/>
        </w:rPr>
      </w:pPr>
      <w:r>
        <w:rPr>
          <w:noProof/>
          <w:lang w:val="en-CA" w:eastAsia="en-CA"/>
        </w:rPr>
        <w:drawing>
          <wp:inline distT="0" distB="0" distL="0" distR="0" wp14:anchorId="4796F14A" wp14:editId="04B3896A">
            <wp:extent cx="2857500" cy="357187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857500" cy="3571875"/>
                    </a:xfrm>
                    <a:prstGeom prst="rect">
                      <a:avLst/>
                    </a:prstGeom>
                    <a:solidFill>
                      <a:srgbClr val="FFFFFF"/>
                    </a:solidFill>
                    <a:ln w="9525">
                      <a:noFill/>
                      <a:miter lim="800000"/>
                      <a:headEnd/>
                      <a:tailEnd/>
                    </a:ln>
                  </pic:spPr>
                </pic:pic>
              </a:graphicData>
            </a:graphic>
          </wp:inline>
        </w:drawing>
      </w:r>
    </w:p>
    <w:p w14:paraId="11A1564E" w14:textId="77777777" w:rsidR="00B23A17" w:rsidRDefault="00B23A17">
      <w:pPr>
        <w:jc w:val="center"/>
        <w:rPr>
          <w:rFonts w:ascii="Calibri" w:hAnsi="Calibri" w:cs="Calibri"/>
          <w:b/>
          <w:color w:val="003366"/>
          <w:sz w:val="36"/>
          <w:szCs w:val="36"/>
        </w:rPr>
      </w:pPr>
    </w:p>
    <w:p w14:paraId="7578AF98" w14:textId="77777777" w:rsidR="00B23A17" w:rsidRDefault="00B23A17">
      <w:pPr>
        <w:jc w:val="center"/>
      </w:pPr>
      <w:r>
        <w:rPr>
          <w:rFonts w:ascii="Calibri" w:hAnsi="Calibri" w:cs="Calibri"/>
          <w:color w:val="003366"/>
          <w:szCs w:val="28"/>
        </w:rPr>
        <w:t>This guideline can be downloaded for free at:</w:t>
      </w:r>
    </w:p>
    <w:p w14:paraId="31F56271" w14:textId="77777777" w:rsidR="00B23A17" w:rsidRDefault="00000000">
      <w:pPr>
        <w:jc w:val="center"/>
        <w:rPr>
          <w:rFonts w:ascii="Calibri" w:hAnsi="Calibri" w:cs="Calibri"/>
          <w:color w:val="003366"/>
          <w:szCs w:val="4"/>
        </w:rPr>
      </w:pPr>
      <w:hyperlink r:id="rId10" w:history="1">
        <w:r w:rsidR="00B23A17">
          <w:rPr>
            <w:rStyle w:val="Hyperlink"/>
            <w:rFonts w:ascii="Calibri" w:hAnsi="Calibri" w:cs="Calibri"/>
            <w:szCs w:val="4"/>
          </w:rPr>
          <w:t xml:space="preserve">http://rnao.ca/bpg/guidelines/abuse-and-neglect-older-adults </w:t>
        </w:r>
      </w:hyperlink>
      <w:r w:rsidR="00B23A17">
        <w:rPr>
          <w:rFonts w:ascii="Calibri" w:hAnsi="Calibri" w:cs="Calibri"/>
          <w:color w:val="003366"/>
          <w:szCs w:val="4"/>
        </w:rPr>
        <w:t xml:space="preserve"> </w:t>
      </w:r>
    </w:p>
    <w:p w14:paraId="12E23907" w14:textId="77777777" w:rsidR="002154EF" w:rsidRDefault="002154EF" w:rsidP="00ED13F3">
      <w:pPr>
        <w:rPr>
          <w:rFonts w:ascii="Calibri" w:hAnsi="Calibri" w:cs="Calibri"/>
          <w:color w:val="003366"/>
          <w:szCs w:val="4"/>
        </w:rPr>
      </w:pPr>
    </w:p>
    <w:p w14:paraId="033582CB" w14:textId="77777777" w:rsidR="000C7834" w:rsidRDefault="000C7834" w:rsidP="000C7834">
      <w:pPr>
        <w:jc w:val="center"/>
        <w:rPr>
          <w:rFonts w:ascii="Calibri" w:hAnsi="Calibri"/>
          <w:color w:val="003366"/>
          <w:szCs w:val="4"/>
        </w:rPr>
      </w:pPr>
      <w:bookmarkStart w:id="0" w:name="_Hlk109225054"/>
      <w:r>
        <w:rPr>
          <w:rFonts w:ascii="Calibri" w:hAnsi="Calibri"/>
          <w:color w:val="003366"/>
          <w:szCs w:val="4"/>
        </w:rPr>
        <w:t>The RNAO Leading Change Toolkit 3</w:t>
      </w:r>
      <w:r w:rsidRPr="006D37EA">
        <w:rPr>
          <w:rFonts w:ascii="Calibri" w:hAnsi="Calibri"/>
          <w:color w:val="003366"/>
          <w:szCs w:val="4"/>
          <w:vertAlign w:val="superscript"/>
        </w:rPr>
        <w:t>rd</w:t>
      </w:r>
      <w:r>
        <w:rPr>
          <w:rFonts w:ascii="Calibri" w:hAnsi="Calibri"/>
          <w:color w:val="003366"/>
          <w:szCs w:val="4"/>
        </w:rPr>
        <w:t xml:space="preserve"> Edition</w:t>
      </w:r>
    </w:p>
    <w:p w14:paraId="7866F9DD" w14:textId="36E75241" w:rsidR="002154EF" w:rsidRPr="002154EF" w:rsidRDefault="000C7834" w:rsidP="000C7834">
      <w:pPr>
        <w:jc w:val="center"/>
        <w:rPr>
          <w:rFonts w:asciiTheme="minorHAnsi" w:hAnsiTheme="minorHAnsi" w:cstheme="minorHAnsi"/>
        </w:rPr>
      </w:pPr>
      <w:hyperlink r:id="rId11" w:history="1">
        <w:r w:rsidRPr="00EF4505">
          <w:rPr>
            <w:rStyle w:val="Hyperlink"/>
            <w:rFonts w:ascii="Calibri" w:hAnsi="Calibri"/>
            <w:szCs w:val="4"/>
          </w:rPr>
          <w:t>https://rnao.ca/leading-change-toolkit</w:t>
        </w:r>
      </w:hyperlink>
    </w:p>
    <w:p w14:paraId="13C58911" w14:textId="77777777" w:rsidR="002154EF" w:rsidRDefault="002154EF">
      <w:pPr>
        <w:jc w:val="center"/>
        <w:rPr>
          <w:rFonts w:ascii="Calibri" w:hAnsi="Calibri" w:cs="Calibri"/>
          <w:color w:val="003366"/>
          <w:szCs w:val="4"/>
        </w:rPr>
      </w:pPr>
    </w:p>
    <w:bookmarkEnd w:id="0"/>
    <w:p w14:paraId="2B844BE7" w14:textId="04371FE8" w:rsidR="00ED13F3" w:rsidRDefault="00ED13F3" w:rsidP="00ED13F3">
      <w:pPr>
        <w:jc w:val="center"/>
        <w:rPr>
          <w:rFonts w:ascii="Calibri" w:hAnsi="Calibri" w:cs="Calibri"/>
          <w:color w:val="003366"/>
          <w:szCs w:val="4"/>
        </w:rPr>
      </w:pPr>
      <w:r>
        <w:rPr>
          <w:rFonts w:ascii="Calibri" w:hAnsi="Calibri" w:cs="Calibri"/>
          <w:color w:val="003366"/>
          <w:szCs w:val="4"/>
        </w:rPr>
        <w:t>Long Term Care Toolkit: Prevention of Abuse and Neglect</w:t>
      </w:r>
    </w:p>
    <w:p w14:paraId="51CFBCDB" w14:textId="59174C0B" w:rsidR="00ED13F3" w:rsidRDefault="00000000" w:rsidP="00ED13F3">
      <w:pPr>
        <w:jc w:val="center"/>
        <w:rPr>
          <w:rFonts w:ascii="Calibri" w:hAnsi="Calibri" w:cs="Calibri"/>
          <w:color w:val="003366"/>
          <w:szCs w:val="4"/>
        </w:rPr>
      </w:pPr>
      <w:hyperlink r:id="rId12" w:history="1">
        <w:r w:rsidR="00ED13F3" w:rsidRPr="00F14874">
          <w:rPr>
            <w:rStyle w:val="Hyperlink"/>
            <w:rFonts w:ascii="Calibri" w:hAnsi="Calibri" w:cs="Calibri"/>
            <w:szCs w:val="4"/>
          </w:rPr>
          <w:t>https://ltctoolkit.rnao.ca/clinical-topics/prevention-abuse-neglect</w:t>
        </w:r>
      </w:hyperlink>
    </w:p>
    <w:p w14:paraId="21E7636A" w14:textId="77777777" w:rsidR="00ED13F3" w:rsidRDefault="00ED13F3" w:rsidP="00ED13F3">
      <w:pPr>
        <w:jc w:val="center"/>
        <w:rPr>
          <w:rFonts w:ascii="Calibri" w:hAnsi="Calibri" w:cs="Calibri"/>
          <w:color w:val="003366"/>
          <w:szCs w:val="4"/>
        </w:rPr>
      </w:pPr>
    </w:p>
    <w:p w14:paraId="5312B930" w14:textId="5FC61FE9" w:rsidR="00B23A17" w:rsidRDefault="00B23A17">
      <w:pPr>
        <w:jc w:val="center"/>
      </w:pPr>
    </w:p>
    <w:bookmarkStart w:id="1" w:name="_1438764607"/>
    <w:bookmarkEnd w:id="1"/>
    <w:bookmarkStart w:id="2" w:name="_MON_1547458466"/>
    <w:bookmarkEnd w:id="2"/>
    <w:p w14:paraId="105739C3" w14:textId="650B8316" w:rsidR="00B23A17" w:rsidRDefault="00ED13F3">
      <w:pPr>
        <w:pageBreakBefore/>
        <w:rPr>
          <w:rFonts w:ascii="Calibri" w:hAnsi="Calibri" w:cs="Calibri"/>
          <w:b/>
          <w:color w:val="003366"/>
          <w:sz w:val="16"/>
          <w:szCs w:val="4"/>
        </w:rPr>
      </w:pPr>
      <w:r>
        <w:object w:dxaOrig="10071" w:dyaOrig="13767" w14:anchorId="76AB5F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3.25pt;height:688.5pt" o:ole="" filled="t">
            <v:fill color2="black"/>
            <v:imagedata r:id="rId13" o:title=""/>
          </v:shape>
          <o:OLEObject Type="Embed" ProgID="Word.Document.12" ShapeID="_x0000_i1025" DrawAspect="Content" ObjectID="_1719839835" r:id="rId14"/>
        </w:object>
      </w:r>
    </w:p>
    <w:tbl>
      <w:tblPr>
        <w:tblW w:w="0" w:type="auto"/>
        <w:tblInd w:w="108" w:type="dxa"/>
        <w:tblLayout w:type="fixed"/>
        <w:tblLook w:val="0000" w:firstRow="0" w:lastRow="0" w:firstColumn="0" w:lastColumn="0" w:noHBand="0" w:noVBand="0"/>
      </w:tblPr>
      <w:tblGrid>
        <w:gridCol w:w="2160"/>
        <w:gridCol w:w="2700"/>
        <w:gridCol w:w="270"/>
        <w:gridCol w:w="4788"/>
      </w:tblGrid>
      <w:tr w:rsidR="00B23A17" w14:paraId="01AEB380" w14:textId="77777777">
        <w:tc>
          <w:tcPr>
            <w:tcW w:w="2160" w:type="dxa"/>
            <w:shd w:val="clear" w:color="auto" w:fill="B6DDE8"/>
          </w:tcPr>
          <w:p w14:paraId="7D4FA0B6" w14:textId="77777777" w:rsidR="00B23A17" w:rsidRDefault="00B23A17">
            <w:pPr>
              <w:pStyle w:val="headnote-e"/>
            </w:pPr>
            <w:r>
              <w:rPr>
                <w:rFonts w:ascii="Calibri" w:hAnsi="Calibri" w:cs="Calibri"/>
              </w:rPr>
              <w:lastRenderedPageBreak/>
              <w:t>Date Completed:</w:t>
            </w:r>
          </w:p>
        </w:tc>
        <w:tc>
          <w:tcPr>
            <w:tcW w:w="7758" w:type="dxa"/>
            <w:gridSpan w:val="3"/>
            <w:tcBorders>
              <w:bottom w:val="single" w:sz="4" w:space="0" w:color="000000"/>
            </w:tcBorders>
            <w:shd w:val="clear" w:color="auto" w:fill="auto"/>
            <w:vAlign w:val="bottom"/>
          </w:tcPr>
          <w:p w14:paraId="72D57321" w14:textId="77777777" w:rsidR="00B23A17" w:rsidRDefault="00B23A17">
            <w:pPr>
              <w:pStyle w:val="headnote-e"/>
            </w:pPr>
          </w:p>
        </w:tc>
      </w:tr>
      <w:tr w:rsidR="00B23A17" w14:paraId="0A679188" w14:textId="77777777">
        <w:trPr>
          <w:trHeight w:val="62"/>
        </w:trPr>
        <w:tc>
          <w:tcPr>
            <w:tcW w:w="9918" w:type="dxa"/>
            <w:gridSpan w:val="4"/>
            <w:shd w:val="clear" w:color="auto" w:fill="auto"/>
            <w:vAlign w:val="bottom"/>
          </w:tcPr>
          <w:p w14:paraId="2628E861" w14:textId="77777777" w:rsidR="00B23A17" w:rsidRDefault="00B23A17">
            <w:pPr>
              <w:pStyle w:val="headnote-e"/>
            </w:pPr>
          </w:p>
        </w:tc>
      </w:tr>
      <w:tr w:rsidR="00B23A17" w14:paraId="321B0F29" w14:textId="77777777">
        <w:trPr>
          <w:trHeight w:val="180"/>
        </w:trPr>
        <w:tc>
          <w:tcPr>
            <w:tcW w:w="9918" w:type="dxa"/>
            <w:gridSpan w:val="4"/>
            <w:shd w:val="clear" w:color="auto" w:fill="B6DDE8"/>
            <w:vAlign w:val="bottom"/>
          </w:tcPr>
          <w:p w14:paraId="4246D30A" w14:textId="77777777" w:rsidR="00B23A17" w:rsidRDefault="00B23A17">
            <w:pPr>
              <w:pStyle w:val="headnote-e"/>
            </w:pPr>
            <w:r>
              <w:rPr>
                <w:rFonts w:ascii="Calibri" w:hAnsi="Calibri" w:cs="Calibri"/>
              </w:rPr>
              <w:t>Team Members participating in the Gap Analysis:</w:t>
            </w:r>
          </w:p>
        </w:tc>
      </w:tr>
      <w:tr w:rsidR="00B23A17" w14:paraId="1C5544CF" w14:textId="77777777">
        <w:tc>
          <w:tcPr>
            <w:tcW w:w="4860" w:type="dxa"/>
            <w:gridSpan w:val="2"/>
            <w:tcBorders>
              <w:bottom w:val="single" w:sz="4" w:space="0" w:color="000000"/>
            </w:tcBorders>
            <w:shd w:val="clear" w:color="auto" w:fill="auto"/>
            <w:vAlign w:val="bottom"/>
          </w:tcPr>
          <w:p w14:paraId="53215A48" w14:textId="77777777" w:rsidR="00B23A17" w:rsidRDefault="00B23A17">
            <w:pPr>
              <w:pStyle w:val="headnote-e"/>
              <w:numPr>
                <w:ilvl w:val="0"/>
                <w:numId w:val="2"/>
              </w:numPr>
            </w:pPr>
          </w:p>
        </w:tc>
        <w:tc>
          <w:tcPr>
            <w:tcW w:w="270" w:type="dxa"/>
            <w:shd w:val="clear" w:color="auto" w:fill="auto"/>
          </w:tcPr>
          <w:p w14:paraId="41915373" w14:textId="77777777" w:rsidR="00B23A17" w:rsidRDefault="00B23A17">
            <w:pPr>
              <w:pStyle w:val="headnote-e"/>
            </w:pPr>
          </w:p>
        </w:tc>
        <w:tc>
          <w:tcPr>
            <w:tcW w:w="4788" w:type="dxa"/>
            <w:tcBorders>
              <w:bottom w:val="single" w:sz="4" w:space="0" w:color="000000"/>
            </w:tcBorders>
            <w:shd w:val="clear" w:color="auto" w:fill="auto"/>
            <w:vAlign w:val="bottom"/>
          </w:tcPr>
          <w:p w14:paraId="7F3B2DB4" w14:textId="77777777" w:rsidR="00B23A17" w:rsidRDefault="00B23A17">
            <w:pPr>
              <w:pStyle w:val="headnote-e"/>
              <w:numPr>
                <w:ilvl w:val="0"/>
                <w:numId w:val="2"/>
              </w:numPr>
            </w:pPr>
          </w:p>
        </w:tc>
      </w:tr>
      <w:tr w:rsidR="00B23A17" w14:paraId="34E9691A" w14:textId="77777777">
        <w:tc>
          <w:tcPr>
            <w:tcW w:w="4860" w:type="dxa"/>
            <w:gridSpan w:val="2"/>
            <w:tcBorders>
              <w:top w:val="single" w:sz="4" w:space="0" w:color="000000"/>
              <w:bottom w:val="single" w:sz="4" w:space="0" w:color="000000"/>
            </w:tcBorders>
            <w:shd w:val="clear" w:color="auto" w:fill="auto"/>
            <w:vAlign w:val="bottom"/>
          </w:tcPr>
          <w:p w14:paraId="0E3D7AC4" w14:textId="77777777" w:rsidR="00B23A17" w:rsidRDefault="00B23A17">
            <w:pPr>
              <w:pStyle w:val="headnote-e"/>
              <w:numPr>
                <w:ilvl w:val="0"/>
                <w:numId w:val="2"/>
              </w:numPr>
            </w:pPr>
          </w:p>
        </w:tc>
        <w:tc>
          <w:tcPr>
            <w:tcW w:w="270" w:type="dxa"/>
            <w:shd w:val="clear" w:color="auto" w:fill="auto"/>
          </w:tcPr>
          <w:p w14:paraId="679B6234" w14:textId="77777777" w:rsidR="00B23A17" w:rsidRDefault="00B23A17">
            <w:pPr>
              <w:pStyle w:val="headnote-e"/>
            </w:pPr>
          </w:p>
        </w:tc>
        <w:tc>
          <w:tcPr>
            <w:tcW w:w="4788" w:type="dxa"/>
            <w:tcBorders>
              <w:top w:val="single" w:sz="4" w:space="0" w:color="000000"/>
              <w:bottom w:val="single" w:sz="4" w:space="0" w:color="000000"/>
            </w:tcBorders>
            <w:shd w:val="clear" w:color="auto" w:fill="auto"/>
            <w:vAlign w:val="bottom"/>
          </w:tcPr>
          <w:p w14:paraId="4F135D26" w14:textId="77777777" w:rsidR="00B23A17" w:rsidRDefault="00B23A17">
            <w:pPr>
              <w:pStyle w:val="headnote-e"/>
              <w:numPr>
                <w:ilvl w:val="0"/>
                <w:numId w:val="2"/>
              </w:numPr>
            </w:pPr>
          </w:p>
        </w:tc>
      </w:tr>
      <w:tr w:rsidR="00B23A17" w14:paraId="248C37E2" w14:textId="77777777">
        <w:tc>
          <w:tcPr>
            <w:tcW w:w="4860" w:type="dxa"/>
            <w:gridSpan w:val="2"/>
            <w:tcBorders>
              <w:top w:val="single" w:sz="4" w:space="0" w:color="000000"/>
              <w:bottom w:val="single" w:sz="4" w:space="0" w:color="000000"/>
            </w:tcBorders>
            <w:shd w:val="clear" w:color="auto" w:fill="auto"/>
            <w:vAlign w:val="bottom"/>
          </w:tcPr>
          <w:p w14:paraId="7971CC4E" w14:textId="77777777" w:rsidR="00B23A17" w:rsidRDefault="00B23A17">
            <w:pPr>
              <w:pStyle w:val="headnote-e"/>
              <w:numPr>
                <w:ilvl w:val="0"/>
                <w:numId w:val="2"/>
              </w:numPr>
            </w:pPr>
          </w:p>
        </w:tc>
        <w:tc>
          <w:tcPr>
            <w:tcW w:w="270" w:type="dxa"/>
            <w:shd w:val="clear" w:color="auto" w:fill="auto"/>
          </w:tcPr>
          <w:p w14:paraId="1DB7BF94" w14:textId="77777777" w:rsidR="00B23A17" w:rsidRDefault="00B23A17">
            <w:pPr>
              <w:pStyle w:val="headnote-e"/>
            </w:pPr>
          </w:p>
        </w:tc>
        <w:tc>
          <w:tcPr>
            <w:tcW w:w="4788" w:type="dxa"/>
            <w:tcBorders>
              <w:top w:val="single" w:sz="4" w:space="0" w:color="000000"/>
              <w:bottom w:val="single" w:sz="4" w:space="0" w:color="000000"/>
            </w:tcBorders>
            <w:shd w:val="clear" w:color="auto" w:fill="auto"/>
            <w:vAlign w:val="bottom"/>
          </w:tcPr>
          <w:p w14:paraId="2D3D5254" w14:textId="77777777" w:rsidR="00B23A17" w:rsidRDefault="00B23A17">
            <w:pPr>
              <w:pStyle w:val="headnote-e"/>
              <w:numPr>
                <w:ilvl w:val="0"/>
                <w:numId w:val="2"/>
              </w:numPr>
            </w:pPr>
          </w:p>
        </w:tc>
      </w:tr>
    </w:tbl>
    <w:p w14:paraId="3248AB00" w14:textId="77777777" w:rsidR="00B23A17" w:rsidRDefault="00B23A17">
      <w:pPr>
        <w:pStyle w:val="headnote-e"/>
        <w:rPr>
          <w:rFonts w:ascii="Calibri" w:hAnsi="Calibri" w:cs="Calibri"/>
          <w:sz w:val="20"/>
          <w:szCs w:val="20"/>
        </w:rPr>
      </w:pPr>
    </w:p>
    <w:p w14:paraId="621BB71B" w14:textId="77777777" w:rsidR="000C7834" w:rsidRDefault="000C7834" w:rsidP="000C7834">
      <w:pPr>
        <w:pStyle w:val="headnote-e"/>
        <w:ind w:left="-630" w:right="-720"/>
        <w:rPr>
          <w:rFonts w:asciiTheme="minorHAnsi" w:hAnsiTheme="minorHAnsi"/>
          <w:sz w:val="20"/>
          <w:szCs w:val="20"/>
        </w:rPr>
      </w:pPr>
      <w:r>
        <w:rPr>
          <w:rFonts w:ascii="Calibri" w:hAnsi="Calibri"/>
          <w:b w:val="0"/>
          <w:sz w:val="24"/>
          <w:szCs w:val="22"/>
        </w:rPr>
        <w:t xml:space="preserve">Completion of this gap analysis allows for the annual comparison of your current practice to evidence-based practices as regulated by the MOHLTC per Fixing Long-Term Care Act, 2021 at  </w:t>
      </w:r>
      <w:hyperlink r:id="rId15" w:history="1">
        <w:r>
          <w:rPr>
            <w:rStyle w:val="Hyperlink"/>
            <w:rFonts w:ascii="Calibri" w:hAnsi="Calibri"/>
            <w:b w:val="0"/>
            <w:sz w:val="24"/>
            <w:szCs w:val="22"/>
          </w:rPr>
          <w:t>https://www.ontario.ca/laws/statute/21f39</w:t>
        </w:r>
      </w:hyperlink>
      <w:r>
        <w:t xml:space="preserve"> </w:t>
      </w:r>
      <w:r>
        <w:rPr>
          <w:rFonts w:asciiTheme="minorHAnsi" w:hAnsiTheme="minorHAnsi"/>
          <w:sz w:val="20"/>
          <w:szCs w:val="20"/>
        </w:rPr>
        <w:t xml:space="preserve">&amp; </w:t>
      </w:r>
    </w:p>
    <w:p w14:paraId="2CCBE8DD" w14:textId="49EB4750" w:rsidR="000C7834" w:rsidRDefault="000C7834" w:rsidP="000C7834">
      <w:pPr>
        <w:pStyle w:val="headnote-e"/>
        <w:ind w:left="-630" w:right="-720"/>
        <w:rPr>
          <w:b w:val="0"/>
          <w:bCs w:val="0"/>
          <w:color w:val="auto"/>
          <w:sz w:val="24"/>
          <w:szCs w:val="24"/>
        </w:rPr>
      </w:pPr>
      <w:hyperlink r:id="rId16" w:history="1">
        <w:r w:rsidRPr="00C60A90">
          <w:rPr>
            <w:b w:val="0"/>
            <w:bCs w:val="0"/>
            <w:color w:val="0000FF"/>
            <w:sz w:val="24"/>
            <w:szCs w:val="24"/>
            <w:u w:val="single"/>
          </w:rPr>
          <w:t>O. Reg. 246/22: GENERAL (ontario.ca)</w:t>
        </w:r>
      </w:hyperlink>
    </w:p>
    <w:tbl>
      <w:tblPr>
        <w:tblW w:w="11530" w:type="dxa"/>
        <w:tblInd w:w="-641" w:type="dxa"/>
        <w:tblLayout w:type="fixed"/>
        <w:tblLook w:val="0000" w:firstRow="0" w:lastRow="0" w:firstColumn="0" w:lastColumn="0" w:noHBand="0" w:noVBand="0"/>
      </w:tblPr>
      <w:tblGrid>
        <w:gridCol w:w="4950"/>
        <w:gridCol w:w="504"/>
        <w:gridCol w:w="504"/>
        <w:gridCol w:w="504"/>
        <w:gridCol w:w="5068"/>
      </w:tblGrid>
      <w:tr w:rsidR="00B23A17" w14:paraId="1AF521F6" w14:textId="77777777" w:rsidTr="00B23A17">
        <w:trPr>
          <w:cantSplit/>
          <w:trHeight w:val="1043"/>
          <w:tblHeader/>
        </w:trPr>
        <w:tc>
          <w:tcPr>
            <w:tcW w:w="4950" w:type="dxa"/>
            <w:tcBorders>
              <w:top w:val="single" w:sz="4" w:space="0" w:color="008080"/>
              <w:left w:val="single" w:sz="4" w:space="0" w:color="008080"/>
              <w:bottom w:val="single" w:sz="4" w:space="0" w:color="008080"/>
            </w:tcBorders>
            <w:shd w:val="clear" w:color="auto" w:fill="B6DDE8"/>
            <w:vAlign w:val="center"/>
          </w:tcPr>
          <w:p w14:paraId="086ECCD1" w14:textId="77777777" w:rsidR="00B23A17" w:rsidRDefault="00B23A17">
            <w:pPr>
              <w:autoSpaceDE w:val="0"/>
              <w:jc w:val="center"/>
            </w:pPr>
            <w:r>
              <w:rPr>
                <w:rFonts w:ascii="Calibri" w:hAnsi="Calibri" w:cs="Calibri"/>
                <w:b/>
                <w:color w:val="003366"/>
              </w:rPr>
              <w:t>RNAO Best Practice Guideline Recommendations</w:t>
            </w:r>
          </w:p>
        </w:tc>
        <w:tc>
          <w:tcPr>
            <w:tcW w:w="504" w:type="dxa"/>
            <w:tcBorders>
              <w:top w:val="single" w:sz="4" w:space="0" w:color="008080"/>
              <w:left w:val="single" w:sz="4" w:space="0" w:color="008080"/>
              <w:bottom w:val="single" w:sz="4" w:space="0" w:color="008080"/>
            </w:tcBorders>
            <w:shd w:val="clear" w:color="auto" w:fill="B6DDE8"/>
            <w:textDirection w:val="btLr"/>
            <w:vAlign w:val="center"/>
          </w:tcPr>
          <w:p w14:paraId="1DB42F57" w14:textId="77777777" w:rsidR="00B23A17" w:rsidRDefault="00B23A17">
            <w:pPr>
              <w:pStyle w:val="headnote-e"/>
              <w:ind w:left="113" w:right="113"/>
              <w:jc w:val="center"/>
            </w:pPr>
            <w:r>
              <w:rPr>
                <w:rFonts w:ascii="Calibri" w:hAnsi="Calibri" w:cs="Calibri"/>
                <w:b w:val="0"/>
                <w:color w:val="003366"/>
                <w:sz w:val="22"/>
                <w:szCs w:val="24"/>
              </w:rPr>
              <w:t>Met</w:t>
            </w:r>
          </w:p>
        </w:tc>
        <w:tc>
          <w:tcPr>
            <w:tcW w:w="504" w:type="dxa"/>
            <w:tcBorders>
              <w:top w:val="single" w:sz="4" w:space="0" w:color="008080"/>
              <w:left w:val="single" w:sz="4" w:space="0" w:color="008080"/>
              <w:bottom w:val="single" w:sz="4" w:space="0" w:color="008080"/>
            </w:tcBorders>
            <w:shd w:val="clear" w:color="auto" w:fill="B6DDE8"/>
            <w:textDirection w:val="btLr"/>
            <w:vAlign w:val="center"/>
          </w:tcPr>
          <w:p w14:paraId="2488E60A" w14:textId="77777777" w:rsidR="00B23A17" w:rsidRDefault="00B23A17">
            <w:pPr>
              <w:pStyle w:val="headnote-e"/>
              <w:spacing w:line="200" w:lineRule="exact"/>
              <w:ind w:left="115" w:right="115"/>
              <w:jc w:val="center"/>
            </w:pPr>
            <w:r>
              <w:rPr>
                <w:rFonts w:ascii="Calibri" w:hAnsi="Calibri" w:cs="Calibri"/>
                <w:b w:val="0"/>
                <w:color w:val="003366"/>
                <w:sz w:val="22"/>
                <w:szCs w:val="24"/>
              </w:rPr>
              <w:t>Partially Met</w:t>
            </w:r>
          </w:p>
        </w:tc>
        <w:tc>
          <w:tcPr>
            <w:tcW w:w="504" w:type="dxa"/>
            <w:tcBorders>
              <w:top w:val="single" w:sz="4" w:space="0" w:color="008080"/>
              <w:left w:val="single" w:sz="4" w:space="0" w:color="008080"/>
              <w:bottom w:val="single" w:sz="4" w:space="0" w:color="008080"/>
            </w:tcBorders>
            <w:shd w:val="clear" w:color="auto" w:fill="B6DDE8"/>
            <w:textDirection w:val="btLr"/>
            <w:vAlign w:val="center"/>
          </w:tcPr>
          <w:p w14:paraId="32EDC169" w14:textId="77777777" w:rsidR="00B23A17" w:rsidRDefault="00B23A17">
            <w:pPr>
              <w:pStyle w:val="headnote-e"/>
              <w:ind w:left="113" w:right="113"/>
              <w:jc w:val="center"/>
            </w:pPr>
            <w:r>
              <w:rPr>
                <w:rFonts w:ascii="Calibri" w:hAnsi="Calibri" w:cs="Calibri"/>
                <w:b w:val="0"/>
                <w:color w:val="003366"/>
                <w:sz w:val="22"/>
                <w:szCs w:val="24"/>
              </w:rPr>
              <w:t>Unmet</w:t>
            </w:r>
          </w:p>
        </w:tc>
        <w:tc>
          <w:tcPr>
            <w:tcW w:w="5068" w:type="dxa"/>
            <w:tcBorders>
              <w:top w:val="single" w:sz="4" w:space="0" w:color="008080"/>
              <w:left w:val="single" w:sz="4" w:space="0" w:color="008080"/>
              <w:bottom w:val="single" w:sz="4" w:space="0" w:color="008080"/>
              <w:right w:val="single" w:sz="4" w:space="0" w:color="008080"/>
            </w:tcBorders>
            <w:shd w:val="clear" w:color="auto" w:fill="B6DDE8"/>
            <w:vAlign w:val="center"/>
          </w:tcPr>
          <w:p w14:paraId="6621A053" w14:textId="77777777" w:rsidR="00B23A17" w:rsidRDefault="00B23A17">
            <w:pPr>
              <w:pStyle w:val="headnote-e"/>
              <w:jc w:val="center"/>
              <w:rPr>
                <w:rFonts w:ascii="Calibri" w:hAnsi="Calibri" w:cs="Calibri"/>
                <w:b w:val="0"/>
                <w:color w:val="003366"/>
                <w:sz w:val="20"/>
                <w:szCs w:val="24"/>
              </w:rPr>
            </w:pPr>
            <w:r>
              <w:rPr>
                <w:rFonts w:ascii="Calibri" w:hAnsi="Calibri" w:cs="Calibri"/>
                <w:color w:val="003366"/>
                <w:sz w:val="24"/>
                <w:szCs w:val="24"/>
              </w:rPr>
              <w:t>Notes</w:t>
            </w:r>
          </w:p>
          <w:p w14:paraId="33107F6C" w14:textId="77777777" w:rsidR="00B23A17" w:rsidRDefault="00B23A17">
            <w:pPr>
              <w:pStyle w:val="headnote-e"/>
              <w:jc w:val="center"/>
            </w:pPr>
            <w:r>
              <w:rPr>
                <w:rFonts w:ascii="Calibri" w:hAnsi="Calibri" w:cs="Calibri"/>
                <w:b w:val="0"/>
                <w:color w:val="003366"/>
                <w:sz w:val="20"/>
                <w:szCs w:val="24"/>
              </w:rPr>
              <w:t>(Examples of what to include: is this a priority to our home, information on current practice, possible overlap with other programs or partners)</w:t>
            </w:r>
          </w:p>
        </w:tc>
      </w:tr>
      <w:tr w:rsidR="00B23A17" w14:paraId="1BE9578E" w14:textId="77777777" w:rsidTr="00B23A17">
        <w:trPr>
          <w:trHeight w:val="23"/>
        </w:trPr>
        <w:tc>
          <w:tcPr>
            <w:tcW w:w="11530" w:type="dxa"/>
            <w:gridSpan w:val="5"/>
            <w:tcBorders>
              <w:top w:val="single" w:sz="4" w:space="0" w:color="008080"/>
              <w:left w:val="single" w:sz="4" w:space="0" w:color="008080"/>
              <w:bottom w:val="single" w:sz="4" w:space="0" w:color="008080"/>
              <w:right w:val="single" w:sz="4" w:space="0" w:color="008080"/>
            </w:tcBorders>
            <w:shd w:val="clear" w:color="auto" w:fill="DAEEF3"/>
          </w:tcPr>
          <w:p w14:paraId="49249808" w14:textId="77777777" w:rsidR="00B23A17" w:rsidRDefault="009C6075">
            <w:r>
              <w:rPr>
                <w:rFonts w:ascii="Calibri" w:hAnsi="Calibri" w:cs="Calibri"/>
                <w:b/>
                <w:color w:val="1F497D"/>
                <w:sz w:val="22"/>
              </w:rPr>
              <w:t xml:space="preserve">Practice Recommendation: </w:t>
            </w:r>
            <w:r w:rsidR="00B23A17">
              <w:rPr>
                <w:rFonts w:ascii="Calibri" w:hAnsi="Calibri" w:cs="Calibri"/>
                <w:b/>
                <w:color w:val="1F497D"/>
                <w:sz w:val="22"/>
              </w:rPr>
              <w:t>Assessment</w:t>
            </w:r>
          </w:p>
        </w:tc>
      </w:tr>
      <w:tr w:rsidR="002246CB" w14:paraId="060F1569" w14:textId="77777777" w:rsidTr="00B23A17">
        <w:trPr>
          <w:trHeight w:val="23"/>
        </w:trPr>
        <w:tc>
          <w:tcPr>
            <w:tcW w:w="4950" w:type="dxa"/>
            <w:tcBorders>
              <w:top w:val="single" w:sz="4" w:space="0" w:color="008080"/>
              <w:left w:val="single" w:sz="4" w:space="0" w:color="008080"/>
              <w:bottom w:val="single" w:sz="4" w:space="0" w:color="008080"/>
            </w:tcBorders>
            <w:shd w:val="clear" w:color="auto" w:fill="auto"/>
          </w:tcPr>
          <w:p w14:paraId="61D0A499" w14:textId="77777777" w:rsidR="002246CB" w:rsidRPr="002246CB" w:rsidRDefault="002246CB" w:rsidP="002246CB">
            <w:pPr>
              <w:suppressAutoHyphens w:val="0"/>
              <w:autoSpaceDE w:val="0"/>
              <w:autoSpaceDN w:val="0"/>
              <w:adjustRightInd w:val="0"/>
              <w:ind w:left="398" w:hanging="398"/>
              <w:rPr>
                <w:rFonts w:asciiTheme="minorHAnsi" w:hAnsiTheme="minorHAnsi"/>
                <w:sz w:val="22"/>
                <w:lang w:eastAsia="en-US"/>
              </w:rPr>
            </w:pPr>
            <w:r w:rsidRPr="002246CB">
              <w:rPr>
                <w:rFonts w:asciiTheme="minorHAnsi" w:hAnsiTheme="minorHAnsi"/>
                <w:sz w:val="22"/>
                <w:lang w:eastAsia="en-US"/>
              </w:rPr>
              <w:t>1.1 Establish and maintain a therapeutic relationship with older adults, and families as appropriate, when discussing issues of abuse and neglect.</w:t>
            </w:r>
            <w:r>
              <w:rPr>
                <w:rFonts w:ascii="Calibri" w:hAnsi="Calibri" w:cs="Calibri"/>
                <w:sz w:val="22"/>
                <w:szCs w:val="22"/>
              </w:rPr>
              <w:br/>
            </w:r>
            <w:r>
              <w:rPr>
                <w:rFonts w:ascii="Calibri" w:hAnsi="Calibri" w:cs="Calibri"/>
                <w:color w:val="1F497D"/>
                <w:sz w:val="20"/>
              </w:rPr>
              <w:t>(Level of Evidence = IV)</w:t>
            </w:r>
          </w:p>
        </w:tc>
        <w:tc>
          <w:tcPr>
            <w:tcW w:w="504" w:type="dxa"/>
            <w:tcBorders>
              <w:top w:val="single" w:sz="4" w:space="0" w:color="008080"/>
              <w:left w:val="single" w:sz="4" w:space="0" w:color="008080"/>
              <w:bottom w:val="single" w:sz="4" w:space="0" w:color="008080"/>
            </w:tcBorders>
            <w:shd w:val="clear" w:color="auto" w:fill="auto"/>
          </w:tcPr>
          <w:p w14:paraId="1C475C66" w14:textId="77777777" w:rsidR="002246CB" w:rsidRDefault="002246CB">
            <w:pPr>
              <w:snapToGrid w:val="0"/>
              <w:ind w:left="72"/>
            </w:pPr>
          </w:p>
        </w:tc>
        <w:tc>
          <w:tcPr>
            <w:tcW w:w="504" w:type="dxa"/>
            <w:tcBorders>
              <w:top w:val="single" w:sz="4" w:space="0" w:color="008080"/>
              <w:left w:val="single" w:sz="4" w:space="0" w:color="008080"/>
              <w:bottom w:val="single" w:sz="4" w:space="0" w:color="008080"/>
            </w:tcBorders>
            <w:shd w:val="clear" w:color="auto" w:fill="auto"/>
          </w:tcPr>
          <w:p w14:paraId="78B06E39" w14:textId="77777777" w:rsidR="002246CB" w:rsidRDefault="002246CB">
            <w:pPr>
              <w:snapToGrid w:val="0"/>
              <w:ind w:left="72"/>
            </w:pPr>
          </w:p>
        </w:tc>
        <w:tc>
          <w:tcPr>
            <w:tcW w:w="504" w:type="dxa"/>
            <w:tcBorders>
              <w:top w:val="single" w:sz="4" w:space="0" w:color="008080"/>
              <w:left w:val="single" w:sz="4" w:space="0" w:color="008080"/>
              <w:bottom w:val="single" w:sz="4" w:space="0" w:color="008080"/>
            </w:tcBorders>
            <w:shd w:val="clear" w:color="auto" w:fill="auto"/>
          </w:tcPr>
          <w:p w14:paraId="23817140" w14:textId="77777777" w:rsidR="002246CB" w:rsidRDefault="002246CB">
            <w:pPr>
              <w:snapToGrid w:val="0"/>
              <w:ind w:left="72"/>
            </w:pPr>
          </w:p>
        </w:tc>
        <w:tc>
          <w:tcPr>
            <w:tcW w:w="5068" w:type="dxa"/>
            <w:tcBorders>
              <w:top w:val="single" w:sz="4" w:space="0" w:color="008080"/>
              <w:left w:val="single" w:sz="4" w:space="0" w:color="008080"/>
              <w:bottom w:val="single" w:sz="4" w:space="0" w:color="008080"/>
              <w:right w:val="single" w:sz="4" w:space="0" w:color="008080"/>
            </w:tcBorders>
            <w:shd w:val="clear" w:color="auto" w:fill="auto"/>
          </w:tcPr>
          <w:p w14:paraId="37E2777F" w14:textId="77777777" w:rsidR="002246CB" w:rsidRDefault="002246CB">
            <w:pPr>
              <w:snapToGrid w:val="0"/>
              <w:ind w:left="72"/>
            </w:pPr>
          </w:p>
        </w:tc>
      </w:tr>
      <w:tr w:rsidR="00B23A17" w14:paraId="6CEF7AAE" w14:textId="77777777" w:rsidTr="00B23A17">
        <w:trPr>
          <w:trHeight w:val="23"/>
        </w:trPr>
        <w:tc>
          <w:tcPr>
            <w:tcW w:w="4950" w:type="dxa"/>
            <w:tcBorders>
              <w:top w:val="single" w:sz="4" w:space="0" w:color="008080"/>
              <w:left w:val="single" w:sz="4" w:space="0" w:color="008080"/>
              <w:bottom w:val="single" w:sz="4" w:space="0" w:color="008080"/>
            </w:tcBorders>
            <w:shd w:val="clear" w:color="auto" w:fill="auto"/>
          </w:tcPr>
          <w:p w14:paraId="0BB5218F" w14:textId="77777777" w:rsidR="00B23A17" w:rsidRPr="002246CB" w:rsidRDefault="00B23A17" w:rsidP="002246CB">
            <w:pPr>
              <w:suppressAutoHyphens w:val="0"/>
              <w:autoSpaceDE w:val="0"/>
              <w:autoSpaceDN w:val="0"/>
              <w:adjustRightInd w:val="0"/>
              <w:ind w:left="398" w:hanging="398"/>
              <w:rPr>
                <w:rFonts w:asciiTheme="minorHAnsi" w:hAnsiTheme="minorHAnsi"/>
                <w:sz w:val="22"/>
                <w:lang w:eastAsia="en-US"/>
              </w:rPr>
            </w:pPr>
            <w:r w:rsidRPr="002246CB">
              <w:rPr>
                <w:rFonts w:asciiTheme="minorHAnsi" w:hAnsiTheme="minorHAnsi"/>
                <w:sz w:val="22"/>
                <w:lang w:eastAsia="en-US"/>
              </w:rPr>
              <w:t>1.2 Ensure privacy and confidentiality when discussing issues of abuse and neglect unless legal obligations require disclosure of information.</w:t>
            </w:r>
          </w:p>
          <w:p w14:paraId="3ED51835" w14:textId="77777777" w:rsidR="00B23A17" w:rsidRDefault="00B23A17" w:rsidP="00B23A17">
            <w:r>
              <w:rPr>
                <w:rFonts w:ascii="Calibri" w:hAnsi="Calibri" w:cs="Calibri"/>
                <w:color w:val="1F497D"/>
                <w:sz w:val="20"/>
              </w:rPr>
              <w:t>(Level of Evidence = V)</w:t>
            </w:r>
          </w:p>
        </w:tc>
        <w:tc>
          <w:tcPr>
            <w:tcW w:w="504" w:type="dxa"/>
            <w:tcBorders>
              <w:top w:val="single" w:sz="4" w:space="0" w:color="008080"/>
              <w:left w:val="single" w:sz="4" w:space="0" w:color="008080"/>
              <w:bottom w:val="single" w:sz="4" w:space="0" w:color="008080"/>
            </w:tcBorders>
            <w:shd w:val="clear" w:color="auto" w:fill="auto"/>
          </w:tcPr>
          <w:p w14:paraId="100E7802" w14:textId="77777777" w:rsidR="00B23A17" w:rsidRDefault="00B23A17">
            <w:pPr>
              <w:snapToGrid w:val="0"/>
              <w:ind w:left="72"/>
            </w:pPr>
          </w:p>
        </w:tc>
        <w:tc>
          <w:tcPr>
            <w:tcW w:w="504" w:type="dxa"/>
            <w:tcBorders>
              <w:top w:val="single" w:sz="4" w:space="0" w:color="008080"/>
              <w:left w:val="single" w:sz="4" w:space="0" w:color="008080"/>
              <w:bottom w:val="single" w:sz="4" w:space="0" w:color="008080"/>
            </w:tcBorders>
            <w:shd w:val="clear" w:color="auto" w:fill="auto"/>
          </w:tcPr>
          <w:p w14:paraId="161E9489" w14:textId="77777777" w:rsidR="00B23A17" w:rsidRDefault="00B23A17">
            <w:pPr>
              <w:snapToGrid w:val="0"/>
              <w:ind w:left="72"/>
            </w:pPr>
          </w:p>
        </w:tc>
        <w:tc>
          <w:tcPr>
            <w:tcW w:w="504" w:type="dxa"/>
            <w:tcBorders>
              <w:top w:val="single" w:sz="4" w:space="0" w:color="008080"/>
              <w:left w:val="single" w:sz="4" w:space="0" w:color="008080"/>
              <w:bottom w:val="single" w:sz="4" w:space="0" w:color="008080"/>
            </w:tcBorders>
            <w:shd w:val="clear" w:color="auto" w:fill="auto"/>
          </w:tcPr>
          <w:p w14:paraId="2E34FAE7" w14:textId="77777777" w:rsidR="00B23A17" w:rsidRDefault="00B23A17">
            <w:pPr>
              <w:snapToGrid w:val="0"/>
              <w:ind w:left="72"/>
            </w:pPr>
          </w:p>
        </w:tc>
        <w:tc>
          <w:tcPr>
            <w:tcW w:w="5068" w:type="dxa"/>
            <w:tcBorders>
              <w:top w:val="single" w:sz="4" w:space="0" w:color="008080"/>
              <w:left w:val="single" w:sz="4" w:space="0" w:color="008080"/>
              <w:bottom w:val="single" w:sz="4" w:space="0" w:color="008080"/>
              <w:right w:val="single" w:sz="4" w:space="0" w:color="008080"/>
            </w:tcBorders>
            <w:shd w:val="clear" w:color="auto" w:fill="auto"/>
          </w:tcPr>
          <w:p w14:paraId="418A2D0F" w14:textId="77777777" w:rsidR="00B23A17" w:rsidRDefault="00B23A17">
            <w:pPr>
              <w:snapToGrid w:val="0"/>
              <w:ind w:left="72"/>
            </w:pPr>
          </w:p>
        </w:tc>
      </w:tr>
      <w:tr w:rsidR="00B23A17" w14:paraId="148190AE" w14:textId="77777777" w:rsidTr="00B23A17">
        <w:trPr>
          <w:trHeight w:val="23"/>
        </w:trPr>
        <w:tc>
          <w:tcPr>
            <w:tcW w:w="4950" w:type="dxa"/>
            <w:tcBorders>
              <w:top w:val="single" w:sz="4" w:space="0" w:color="008080"/>
              <w:left w:val="single" w:sz="4" w:space="0" w:color="008080"/>
              <w:bottom w:val="single" w:sz="4" w:space="0" w:color="008080"/>
            </w:tcBorders>
            <w:shd w:val="clear" w:color="auto" w:fill="auto"/>
          </w:tcPr>
          <w:p w14:paraId="3A424412" w14:textId="77777777" w:rsidR="00B23A17" w:rsidRPr="002246CB" w:rsidRDefault="00B23A17" w:rsidP="002246CB">
            <w:pPr>
              <w:suppressAutoHyphens w:val="0"/>
              <w:autoSpaceDE w:val="0"/>
              <w:autoSpaceDN w:val="0"/>
              <w:adjustRightInd w:val="0"/>
              <w:ind w:left="398" w:hanging="398"/>
              <w:rPr>
                <w:rFonts w:asciiTheme="minorHAnsi" w:hAnsiTheme="minorHAnsi"/>
                <w:sz w:val="22"/>
                <w:lang w:eastAsia="en-US"/>
              </w:rPr>
            </w:pPr>
            <w:r w:rsidRPr="002246CB">
              <w:rPr>
                <w:rFonts w:asciiTheme="minorHAnsi" w:hAnsiTheme="minorHAnsi"/>
                <w:sz w:val="22"/>
                <w:lang w:eastAsia="en-US"/>
              </w:rPr>
              <w:t>1.3 Be alert for risk factors and signs of abuse and neglect during assessments and encounters with the older adult.</w:t>
            </w:r>
          </w:p>
          <w:p w14:paraId="1B3A3EE2" w14:textId="77777777" w:rsidR="00B23A17" w:rsidRDefault="00B23A17" w:rsidP="00B23A17">
            <w:r>
              <w:rPr>
                <w:rFonts w:ascii="Calibri" w:hAnsi="Calibri" w:cs="Calibri"/>
                <w:color w:val="1F497D"/>
                <w:sz w:val="20"/>
              </w:rPr>
              <w:t>(Level of Evidence = V)</w:t>
            </w:r>
          </w:p>
        </w:tc>
        <w:tc>
          <w:tcPr>
            <w:tcW w:w="504" w:type="dxa"/>
            <w:tcBorders>
              <w:top w:val="single" w:sz="4" w:space="0" w:color="008080"/>
              <w:left w:val="single" w:sz="4" w:space="0" w:color="008080"/>
              <w:bottom w:val="single" w:sz="4" w:space="0" w:color="008080"/>
            </w:tcBorders>
            <w:shd w:val="clear" w:color="auto" w:fill="auto"/>
          </w:tcPr>
          <w:p w14:paraId="248B1D80" w14:textId="77777777" w:rsidR="00B23A17" w:rsidRDefault="00B23A17">
            <w:pPr>
              <w:snapToGrid w:val="0"/>
              <w:ind w:left="72"/>
            </w:pPr>
          </w:p>
        </w:tc>
        <w:tc>
          <w:tcPr>
            <w:tcW w:w="504" w:type="dxa"/>
            <w:tcBorders>
              <w:top w:val="single" w:sz="4" w:space="0" w:color="008080"/>
              <w:left w:val="single" w:sz="4" w:space="0" w:color="008080"/>
              <w:bottom w:val="single" w:sz="4" w:space="0" w:color="008080"/>
            </w:tcBorders>
            <w:shd w:val="clear" w:color="auto" w:fill="auto"/>
          </w:tcPr>
          <w:p w14:paraId="07F77039" w14:textId="77777777" w:rsidR="00B23A17" w:rsidRDefault="00B23A17">
            <w:pPr>
              <w:snapToGrid w:val="0"/>
              <w:ind w:left="72"/>
            </w:pPr>
          </w:p>
        </w:tc>
        <w:tc>
          <w:tcPr>
            <w:tcW w:w="504" w:type="dxa"/>
            <w:tcBorders>
              <w:top w:val="single" w:sz="4" w:space="0" w:color="008080"/>
              <w:left w:val="single" w:sz="4" w:space="0" w:color="008080"/>
              <w:bottom w:val="single" w:sz="4" w:space="0" w:color="008080"/>
            </w:tcBorders>
            <w:shd w:val="clear" w:color="auto" w:fill="auto"/>
          </w:tcPr>
          <w:p w14:paraId="3A990171" w14:textId="77777777" w:rsidR="00B23A17" w:rsidRDefault="00B23A17">
            <w:pPr>
              <w:snapToGrid w:val="0"/>
              <w:ind w:left="72"/>
            </w:pPr>
          </w:p>
        </w:tc>
        <w:tc>
          <w:tcPr>
            <w:tcW w:w="5068" w:type="dxa"/>
            <w:tcBorders>
              <w:top w:val="single" w:sz="4" w:space="0" w:color="008080"/>
              <w:left w:val="single" w:sz="4" w:space="0" w:color="008080"/>
              <w:bottom w:val="single" w:sz="4" w:space="0" w:color="008080"/>
              <w:right w:val="single" w:sz="4" w:space="0" w:color="008080"/>
            </w:tcBorders>
            <w:shd w:val="clear" w:color="auto" w:fill="auto"/>
          </w:tcPr>
          <w:p w14:paraId="1AD91183" w14:textId="77777777" w:rsidR="00B23A17" w:rsidRDefault="00B23A17">
            <w:pPr>
              <w:snapToGrid w:val="0"/>
              <w:ind w:left="72"/>
            </w:pPr>
          </w:p>
        </w:tc>
      </w:tr>
      <w:tr w:rsidR="00B23A17" w14:paraId="5FB689E6" w14:textId="77777777" w:rsidTr="00B23A17">
        <w:trPr>
          <w:trHeight w:val="23"/>
        </w:trPr>
        <w:tc>
          <w:tcPr>
            <w:tcW w:w="4950" w:type="dxa"/>
            <w:tcBorders>
              <w:top w:val="single" w:sz="4" w:space="0" w:color="008080"/>
              <w:left w:val="single" w:sz="4" w:space="0" w:color="008080"/>
              <w:bottom w:val="single" w:sz="4" w:space="0" w:color="008080"/>
            </w:tcBorders>
            <w:shd w:val="clear" w:color="auto" w:fill="auto"/>
          </w:tcPr>
          <w:p w14:paraId="49981EA1" w14:textId="77777777" w:rsidR="00B23A17" w:rsidRPr="002246CB" w:rsidRDefault="00B23A17" w:rsidP="002246CB">
            <w:pPr>
              <w:suppressAutoHyphens w:val="0"/>
              <w:autoSpaceDE w:val="0"/>
              <w:autoSpaceDN w:val="0"/>
              <w:adjustRightInd w:val="0"/>
              <w:ind w:left="398" w:hanging="398"/>
              <w:rPr>
                <w:rFonts w:asciiTheme="minorHAnsi" w:hAnsiTheme="minorHAnsi"/>
                <w:sz w:val="22"/>
                <w:lang w:eastAsia="en-US"/>
              </w:rPr>
            </w:pPr>
            <w:r w:rsidRPr="002246CB">
              <w:rPr>
                <w:rFonts w:asciiTheme="minorHAnsi" w:hAnsiTheme="minorHAnsi"/>
                <w:sz w:val="22"/>
                <w:lang w:eastAsia="en-US"/>
              </w:rPr>
              <w:t>1.4 Carry out a detailed assessment in collaboration with the older adult, interprofessional team, and family, as appropriate, when abuse or neglect is alleged or suspected.</w:t>
            </w:r>
          </w:p>
          <w:p w14:paraId="6BDBE1E6" w14:textId="77777777" w:rsidR="00B23A17" w:rsidRDefault="00B23A17" w:rsidP="00B23A17">
            <w:r>
              <w:rPr>
                <w:rFonts w:ascii="Calibri" w:hAnsi="Calibri" w:cs="Calibri"/>
                <w:color w:val="1F497D"/>
                <w:sz w:val="20"/>
              </w:rPr>
              <w:t>(Level of Evidence = V)</w:t>
            </w:r>
          </w:p>
        </w:tc>
        <w:tc>
          <w:tcPr>
            <w:tcW w:w="504" w:type="dxa"/>
            <w:tcBorders>
              <w:top w:val="single" w:sz="4" w:space="0" w:color="008080"/>
              <w:left w:val="single" w:sz="4" w:space="0" w:color="008080"/>
              <w:bottom w:val="single" w:sz="4" w:space="0" w:color="008080"/>
            </w:tcBorders>
            <w:shd w:val="clear" w:color="auto" w:fill="auto"/>
          </w:tcPr>
          <w:p w14:paraId="6D762578" w14:textId="77777777" w:rsidR="00B23A17" w:rsidRDefault="00B23A17">
            <w:pPr>
              <w:snapToGrid w:val="0"/>
              <w:ind w:left="72"/>
            </w:pPr>
          </w:p>
        </w:tc>
        <w:tc>
          <w:tcPr>
            <w:tcW w:w="504" w:type="dxa"/>
            <w:tcBorders>
              <w:top w:val="single" w:sz="4" w:space="0" w:color="008080"/>
              <w:left w:val="single" w:sz="4" w:space="0" w:color="008080"/>
              <w:bottom w:val="single" w:sz="4" w:space="0" w:color="008080"/>
            </w:tcBorders>
            <w:shd w:val="clear" w:color="auto" w:fill="auto"/>
          </w:tcPr>
          <w:p w14:paraId="6888629B" w14:textId="77777777" w:rsidR="00B23A17" w:rsidRDefault="00B23A17">
            <w:pPr>
              <w:snapToGrid w:val="0"/>
              <w:ind w:left="72"/>
            </w:pPr>
          </w:p>
        </w:tc>
        <w:tc>
          <w:tcPr>
            <w:tcW w:w="504" w:type="dxa"/>
            <w:tcBorders>
              <w:top w:val="single" w:sz="4" w:space="0" w:color="008080"/>
              <w:left w:val="single" w:sz="4" w:space="0" w:color="008080"/>
              <w:bottom w:val="single" w:sz="4" w:space="0" w:color="008080"/>
            </w:tcBorders>
            <w:shd w:val="clear" w:color="auto" w:fill="auto"/>
          </w:tcPr>
          <w:p w14:paraId="533BB172" w14:textId="77777777" w:rsidR="00B23A17" w:rsidRDefault="00B23A17">
            <w:pPr>
              <w:snapToGrid w:val="0"/>
              <w:ind w:left="72"/>
            </w:pPr>
          </w:p>
        </w:tc>
        <w:tc>
          <w:tcPr>
            <w:tcW w:w="5068" w:type="dxa"/>
            <w:tcBorders>
              <w:top w:val="single" w:sz="4" w:space="0" w:color="008080"/>
              <w:left w:val="single" w:sz="4" w:space="0" w:color="008080"/>
              <w:bottom w:val="single" w:sz="4" w:space="0" w:color="008080"/>
              <w:right w:val="single" w:sz="4" w:space="0" w:color="008080"/>
            </w:tcBorders>
            <w:shd w:val="clear" w:color="auto" w:fill="auto"/>
          </w:tcPr>
          <w:p w14:paraId="341333CA" w14:textId="77777777" w:rsidR="00B23A17" w:rsidRDefault="00B23A17">
            <w:pPr>
              <w:snapToGrid w:val="0"/>
              <w:ind w:left="72"/>
            </w:pPr>
          </w:p>
        </w:tc>
      </w:tr>
      <w:tr w:rsidR="00B23A17" w14:paraId="0032E986" w14:textId="77777777" w:rsidTr="00B23A17">
        <w:trPr>
          <w:trHeight w:val="23"/>
        </w:trPr>
        <w:tc>
          <w:tcPr>
            <w:tcW w:w="4950" w:type="dxa"/>
            <w:tcBorders>
              <w:top w:val="single" w:sz="4" w:space="0" w:color="008080"/>
              <w:left w:val="single" w:sz="4" w:space="0" w:color="008080"/>
              <w:bottom w:val="single" w:sz="4" w:space="0" w:color="008080"/>
            </w:tcBorders>
            <w:shd w:val="clear" w:color="auto" w:fill="auto"/>
          </w:tcPr>
          <w:p w14:paraId="78D51B43" w14:textId="77777777" w:rsidR="00B23A17" w:rsidRPr="002246CB" w:rsidRDefault="00B23A17" w:rsidP="002246CB">
            <w:pPr>
              <w:suppressAutoHyphens w:val="0"/>
              <w:autoSpaceDE w:val="0"/>
              <w:autoSpaceDN w:val="0"/>
              <w:adjustRightInd w:val="0"/>
              <w:ind w:left="398" w:hanging="398"/>
              <w:rPr>
                <w:rFonts w:asciiTheme="minorHAnsi" w:hAnsiTheme="minorHAnsi"/>
                <w:sz w:val="22"/>
                <w:lang w:eastAsia="en-US"/>
              </w:rPr>
            </w:pPr>
            <w:r w:rsidRPr="002246CB">
              <w:rPr>
                <w:rFonts w:asciiTheme="minorHAnsi" w:hAnsiTheme="minorHAnsi"/>
                <w:sz w:val="22"/>
                <w:lang w:eastAsia="en-US"/>
              </w:rPr>
              <w:t>1.5 Identify the rights, priorities, needs and preferences of the older adult with regard to lifestyle and care decisions before determining interventions and supports.</w:t>
            </w:r>
          </w:p>
          <w:p w14:paraId="2283C9F6" w14:textId="77777777" w:rsidR="00B23A17" w:rsidRDefault="00B23A17" w:rsidP="00B23A17">
            <w:r>
              <w:rPr>
                <w:rFonts w:ascii="Calibri" w:hAnsi="Calibri" w:cs="Calibri"/>
                <w:color w:val="1F497D"/>
                <w:sz w:val="20"/>
              </w:rPr>
              <w:t>(Level of Evidence = IV)</w:t>
            </w:r>
          </w:p>
        </w:tc>
        <w:tc>
          <w:tcPr>
            <w:tcW w:w="504" w:type="dxa"/>
            <w:tcBorders>
              <w:top w:val="single" w:sz="4" w:space="0" w:color="008080"/>
              <w:left w:val="single" w:sz="4" w:space="0" w:color="008080"/>
              <w:bottom w:val="single" w:sz="4" w:space="0" w:color="008080"/>
            </w:tcBorders>
            <w:shd w:val="clear" w:color="auto" w:fill="auto"/>
          </w:tcPr>
          <w:p w14:paraId="34E79625" w14:textId="77777777" w:rsidR="00B23A17" w:rsidRDefault="00B23A17">
            <w:pPr>
              <w:snapToGrid w:val="0"/>
              <w:ind w:left="72"/>
            </w:pPr>
          </w:p>
        </w:tc>
        <w:tc>
          <w:tcPr>
            <w:tcW w:w="504" w:type="dxa"/>
            <w:tcBorders>
              <w:top w:val="single" w:sz="4" w:space="0" w:color="008080"/>
              <w:left w:val="single" w:sz="4" w:space="0" w:color="008080"/>
              <w:bottom w:val="single" w:sz="4" w:space="0" w:color="008080"/>
            </w:tcBorders>
            <w:shd w:val="clear" w:color="auto" w:fill="auto"/>
          </w:tcPr>
          <w:p w14:paraId="3377D0A0" w14:textId="77777777" w:rsidR="00B23A17" w:rsidRDefault="00B23A17">
            <w:pPr>
              <w:snapToGrid w:val="0"/>
              <w:ind w:left="72"/>
            </w:pPr>
          </w:p>
        </w:tc>
        <w:tc>
          <w:tcPr>
            <w:tcW w:w="504" w:type="dxa"/>
            <w:tcBorders>
              <w:top w:val="single" w:sz="4" w:space="0" w:color="008080"/>
              <w:left w:val="single" w:sz="4" w:space="0" w:color="008080"/>
              <w:bottom w:val="single" w:sz="4" w:space="0" w:color="008080"/>
            </w:tcBorders>
            <w:shd w:val="clear" w:color="auto" w:fill="auto"/>
          </w:tcPr>
          <w:p w14:paraId="168B5308" w14:textId="77777777" w:rsidR="00B23A17" w:rsidRDefault="00B23A17">
            <w:pPr>
              <w:snapToGrid w:val="0"/>
              <w:ind w:left="72"/>
            </w:pPr>
          </w:p>
        </w:tc>
        <w:tc>
          <w:tcPr>
            <w:tcW w:w="5068" w:type="dxa"/>
            <w:tcBorders>
              <w:top w:val="single" w:sz="4" w:space="0" w:color="008080"/>
              <w:left w:val="single" w:sz="4" w:space="0" w:color="008080"/>
              <w:bottom w:val="single" w:sz="4" w:space="0" w:color="008080"/>
              <w:right w:val="single" w:sz="4" w:space="0" w:color="008080"/>
            </w:tcBorders>
            <w:shd w:val="clear" w:color="auto" w:fill="auto"/>
          </w:tcPr>
          <w:p w14:paraId="79FD29A0" w14:textId="77777777" w:rsidR="00B23A17" w:rsidRDefault="00B23A17">
            <w:pPr>
              <w:snapToGrid w:val="0"/>
              <w:ind w:left="72"/>
            </w:pPr>
          </w:p>
        </w:tc>
      </w:tr>
      <w:tr w:rsidR="002246CB" w14:paraId="65BE0AD4" w14:textId="77777777" w:rsidTr="002246CB">
        <w:trPr>
          <w:trHeight w:val="23"/>
        </w:trPr>
        <w:tc>
          <w:tcPr>
            <w:tcW w:w="11530" w:type="dxa"/>
            <w:gridSpan w:val="5"/>
            <w:tcBorders>
              <w:top w:val="single" w:sz="4" w:space="0" w:color="008080"/>
              <w:left w:val="single" w:sz="4" w:space="0" w:color="008080"/>
              <w:bottom w:val="single" w:sz="4" w:space="0" w:color="008080"/>
              <w:right w:val="single" w:sz="4" w:space="0" w:color="008080"/>
            </w:tcBorders>
            <w:shd w:val="clear" w:color="auto" w:fill="DAEEF3" w:themeFill="accent5" w:themeFillTint="33"/>
          </w:tcPr>
          <w:p w14:paraId="3C3559AD" w14:textId="77777777" w:rsidR="002246CB" w:rsidRDefault="002246CB">
            <w:pPr>
              <w:snapToGrid w:val="0"/>
              <w:ind w:left="72"/>
            </w:pPr>
            <w:r>
              <w:rPr>
                <w:rFonts w:ascii="Calibri" w:hAnsi="Calibri" w:cs="Calibri"/>
                <w:b/>
                <w:color w:val="1F497D"/>
                <w:sz w:val="22"/>
              </w:rPr>
              <w:t>Practice Recommendation: Planning</w:t>
            </w:r>
          </w:p>
        </w:tc>
      </w:tr>
      <w:tr w:rsidR="002246CB" w14:paraId="3BDCE4CE" w14:textId="77777777" w:rsidTr="00B23A17">
        <w:trPr>
          <w:trHeight w:val="23"/>
        </w:trPr>
        <w:tc>
          <w:tcPr>
            <w:tcW w:w="4950" w:type="dxa"/>
            <w:tcBorders>
              <w:top w:val="single" w:sz="4" w:space="0" w:color="008080"/>
              <w:left w:val="single" w:sz="4" w:space="0" w:color="008080"/>
              <w:bottom w:val="single" w:sz="4" w:space="0" w:color="008080"/>
            </w:tcBorders>
            <w:shd w:val="clear" w:color="auto" w:fill="auto"/>
          </w:tcPr>
          <w:p w14:paraId="46B24C18" w14:textId="77777777" w:rsidR="002246CB" w:rsidRDefault="002246CB" w:rsidP="002246CB">
            <w:pPr>
              <w:suppressAutoHyphens w:val="0"/>
              <w:autoSpaceDE w:val="0"/>
              <w:autoSpaceDN w:val="0"/>
              <w:adjustRightInd w:val="0"/>
              <w:ind w:left="398" w:hanging="398"/>
              <w:rPr>
                <w:rFonts w:ascii="Calibri" w:hAnsi="Calibri" w:cs="Calibri"/>
                <w:sz w:val="22"/>
                <w:szCs w:val="22"/>
              </w:rPr>
            </w:pPr>
            <w:r w:rsidRPr="002246CB">
              <w:rPr>
                <w:rFonts w:asciiTheme="minorHAnsi" w:hAnsiTheme="minorHAnsi"/>
                <w:sz w:val="22"/>
                <w:lang w:eastAsia="en-US"/>
              </w:rPr>
              <w:t>2.1 Collect information and resources needed to respond appropriately to alleged or suspected abuse and neglect in ways that are compatible with the law, organizational policies and procedures, and professional practice standards.</w:t>
            </w:r>
            <w:r>
              <w:rPr>
                <w:rFonts w:ascii="Calibri" w:hAnsi="Calibri" w:cs="Calibri"/>
                <w:sz w:val="22"/>
                <w:szCs w:val="22"/>
              </w:rPr>
              <w:t xml:space="preserve"> </w:t>
            </w:r>
          </w:p>
          <w:p w14:paraId="411E0FD5" w14:textId="77777777" w:rsidR="002246CB" w:rsidRPr="002246CB" w:rsidRDefault="002246CB" w:rsidP="002246CB">
            <w:pPr>
              <w:suppressAutoHyphens w:val="0"/>
              <w:autoSpaceDE w:val="0"/>
              <w:autoSpaceDN w:val="0"/>
              <w:adjustRightInd w:val="0"/>
              <w:ind w:left="398" w:hanging="398"/>
              <w:rPr>
                <w:rFonts w:asciiTheme="minorHAnsi" w:hAnsiTheme="minorHAnsi"/>
                <w:sz w:val="22"/>
                <w:lang w:eastAsia="en-US"/>
              </w:rPr>
            </w:pPr>
            <w:r>
              <w:rPr>
                <w:rFonts w:ascii="Calibri" w:hAnsi="Calibri" w:cs="Calibri"/>
                <w:color w:val="1F497D"/>
                <w:sz w:val="20"/>
              </w:rPr>
              <w:t>(Level of Evidence = V)</w:t>
            </w:r>
          </w:p>
        </w:tc>
        <w:tc>
          <w:tcPr>
            <w:tcW w:w="504" w:type="dxa"/>
            <w:tcBorders>
              <w:top w:val="single" w:sz="4" w:space="0" w:color="008080"/>
              <w:left w:val="single" w:sz="4" w:space="0" w:color="008080"/>
              <w:bottom w:val="single" w:sz="4" w:space="0" w:color="008080"/>
            </w:tcBorders>
            <w:shd w:val="clear" w:color="auto" w:fill="auto"/>
          </w:tcPr>
          <w:p w14:paraId="3952336C" w14:textId="77777777" w:rsidR="002246CB" w:rsidRDefault="002246CB">
            <w:pPr>
              <w:snapToGrid w:val="0"/>
              <w:ind w:left="72"/>
            </w:pPr>
          </w:p>
        </w:tc>
        <w:tc>
          <w:tcPr>
            <w:tcW w:w="504" w:type="dxa"/>
            <w:tcBorders>
              <w:top w:val="single" w:sz="4" w:space="0" w:color="008080"/>
              <w:left w:val="single" w:sz="4" w:space="0" w:color="008080"/>
              <w:bottom w:val="single" w:sz="4" w:space="0" w:color="008080"/>
            </w:tcBorders>
            <w:shd w:val="clear" w:color="auto" w:fill="auto"/>
          </w:tcPr>
          <w:p w14:paraId="218B964B" w14:textId="77777777" w:rsidR="002246CB" w:rsidRDefault="002246CB">
            <w:pPr>
              <w:snapToGrid w:val="0"/>
              <w:ind w:left="72"/>
            </w:pPr>
          </w:p>
        </w:tc>
        <w:tc>
          <w:tcPr>
            <w:tcW w:w="504" w:type="dxa"/>
            <w:tcBorders>
              <w:top w:val="single" w:sz="4" w:space="0" w:color="008080"/>
              <w:left w:val="single" w:sz="4" w:space="0" w:color="008080"/>
              <w:bottom w:val="single" w:sz="4" w:space="0" w:color="008080"/>
            </w:tcBorders>
            <w:shd w:val="clear" w:color="auto" w:fill="auto"/>
          </w:tcPr>
          <w:p w14:paraId="03118FD8" w14:textId="77777777" w:rsidR="002246CB" w:rsidRDefault="002246CB">
            <w:pPr>
              <w:snapToGrid w:val="0"/>
              <w:ind w:left="72"/>
            </w:pPr>
          </w:p>
        </w:tc>
        <w:tc>
          <w:tcPr>
            <w:tcW w:w="5068" w:type="dxa"/>
            <w:tcBorders>
              <w:top w:val="single" w:sz="4" w:space="0" w:color="008080"/>
              <w:left w:val="single" w:sz="4" w:space="0" w:color="008080"/>
              <w:bottom w:val="single" w:sz="4" w:space="0" w:color="008080"/>
              <w:right w:val="single" w:sz="4" w:space="0" w:color="008080"/>
            </w:tcBorders>
            <w:shd w:val="clear" w:color="auto" w:fill="auto"/>
          </w:tcPr>
          <w:p w14:paraId="53C807B7" w14:textId="77777777" w:rsidR="002246CB" w:rsidRDefault="002246CB">
            <w:pPr>
              <w:snapToGrid w:val="0"/>
              <w:ind w:left="72"/>
            </w:pPr>
          </w:p>
        </w:tc>
      </w:tr>
      <w:tr w:rsidR="002246CB" w14:paraId="65008A56" w14:textId="77777777" w:rsidTr="00B23A17">
        <w:trPr>
          <w:trHeight w:val="23"/>
        </w:trPr>
        <w:tc>
          <w:tcPr>
            <w:tcW w:w="4950" w:type="dxa"/>
            <w:tcBorders>
              <w:top w:val="single" w:sz="4" w:space="0" w:color="008080"/>
              <w:left w:val="single" w:sz="4" w:space="0" w:color="008080"/>
              <w:bottom w:val="single" w:sz="4" w:space="0" w:color="008080"/>
            </w:tcBorders>
            <w:shd w:val="clear" w:color="auto" w:fill="auto"/>
          </w:tcPr>
          <w:p w14:paraId="24427DD7" w14:textId="77777777" w:rsidR="002246CB" w:rsidRDefault="002246CB" w:rsidP="002246CB">
            <w:pPr>
              <w:suppressAutoHyphens w:val="0"/>
              <w:autoSpaceDE w:val="0"/>
              <w:autoSpaceDN w:val="0"/>
              <w:adjustRightInd w:val="0"/>
              <w:ind w:left="398" w:hanging="398"/>
              <w:rPr>
                <w:rFonts w:ascii="Calibri" w:hAnsi="Calibri" w:cs="Calibri"/>
                <w:sz w:val="22"/>
                <w:szCs w:val="22"/>
              </w:rPr>
            </w:pPr>
            <w:r w:rsidRPr="002246CB">
              <w:rPr>
                <w:rFonts w:asciiTheme="minorHAnsi" w:hAnsiTheme="minorHAnsi"/>
                <w:sz w:val="22"/>
                <w:lang w:eastAsia="en-US"/>
              </w:rPr>
              <w:t>2.2 Collaborate with the older adult, family and interprofessional team, as appropriate, to develop an individualized plan of care to prevent or address harm.</w:t>
            </w:r>
            <w:r>
              <w:rPr>
                <w:rFonts w:ascii="Calibri" w:hAnsi="Calibri" w:cs="Calibri"/>
                <w:sz w:val="22"/>
                <w:szCs w:val="22"/>
              </w:rPr>
              <w:t xml:space="preserve"> </w:t>
            </w:r>
          </w:p>
          <w:p w14:paraId="25E27421" w14:textId="77777777" w:rsidR="002246CB" w:rsidRPr="002246CB" w:rsidRDefault="002246CB" w:rsidP="002246CB">
            <w:pPr>
              <w:suppressAutoHyphens w:val="0"/>
              <w:autoSpaceDE w:val="0"/>
              <w:autoSpaceDN w:val="0"/>
              <w:adjustRightInd w:val="0"/>
              <w:ind w:left="398" w:hanging="398"/>
              <w:rPr>
                <w:rFonts w:asciiTheme="minorHAnsi" w:hAnsiTheme="minorHAnsi"/>
                <w:sz w:val="22"/>
                <w:lang w:eastAsia="en-US"/>
              </w:rPr>
            </w:pPr>
            <w:r>
              <w:rPr>
                <w:rFonts w:ascii="Calibri" w:hAnsi="Calibri" w:cs="Calibri"/>
                <w:color w:val="1F497D"/>
                <w:sz w:val="20"/>
              </w:rPr>
              <w:lastRenderedPageBreak/>
              <w:t>(Level of Evidence = IV)</w:t>
            </w:r>
          </w:p>
        </w:tc>
        <w:tc>
          <w:tcPr>
            <w:tcW w:w="504" w:type="dxa"/>
            <w:tcBorders>
              <w:top w:val="single" w:sz="4" w:space="0" w:color="008080"/>
              <w:left w:val="single" w:sz="4" w:space="0" w:color="008080"/>
              <w:bottom w:val="single" w:sz="4" w:space="0" w:color="008080"/>
            </w:tcBorders>
            <w:shd w:val="clear" w:color="auto" w:fill="auto"/>
          </w:tcPr>
          <w:p w14:paraId="7B8DD35A" w14:textId="77777777" w:rsidR="002246CB" w:rsidRDefault="002246CB">
            <w:pPr>
              <w:snapToGrid w:val="0"/>
              <w:ind w:left="72"/>
            </w:pPr>
          </w:p>
        </w:tc>
        <w:tc>
          <w:tcPr>
            <w:tcW w:w="504" w:type="dxa"/>
            <w:tcBorders>
              <w:top w:val="single" w:sz="4" w:space="0" w:color="008080"/>
              <w:left w:val="single" w:sz="4" w:space="0" w:color="008080"/>
              <w:bottom w:val="single" w:sz="4" w:space="0" w:color="008080"/>
            </w:tcBorders>
            <w:shd w:val="clear" w:color="auto" w:fill="auto"/>
          </w:tcPr>
          <w:p w14:paraId="0AF21AD6" w14:textId="77777777" w:rsidR="002246CB" w:rsidRDefault="002246CB">
            <w:pPr>
              <w:snapToGrid w:val="0"/>
              <w:ind w:left="72"/>
            </w:pPr>
          </w:p>
        </w:tc>
        <w:tc>
          <w:tcPr>
            <w:tcW w:w="504" w:type="dxa"/>
            <w:tcBorders>
              <w:top w:val="single" w:sz="4" w:space="0" w:color="008080"/>
              <w:left w:val="single" w:sz="4" w:space="0" w:color="008080"/>
              <w:bottom w:val="single" w:sz="4" w:space="0" w:color="008080"/>
            </w:tcBorders>
            <w:shd w:val="clear" w:color="auto" w:fill="auto"/>
          </w:tcPr>
          <w:p w14:paraId="04FC3007" w14:textId="77777777" w:rsidR="002246CB" w:rsidRDefault="002246CB">
            <w:pPr>
              <w:snapToGrid w:val="0"/>
              <w:ind w:left="72"/>
            </w:pPr>
          </w:p>
        </w:tc>
        <w:tc>
          <w:tcPr>
            <w:tcW w:w="5068" w:type="dxa"/>
            <w:tcBorders>
              <w:top w:val="single" w:sz="4" w:space="0" w:color="008080"/>
              <w:left w:val="single" w:sz="4" w:space="0" w:color="008080"/>
              <w:bottom w:val="single" w:sz="4" w:space="0" w:color="008080"/>
              <w:right w:val="single" w:sz="4" w:space="0" w:color="008080"/>
            </w:tcBorders>
            <w:shd w:val="clear" w:color="auto" w:fill="auto"/>
          </w:tcPr>
          <w:p w14:paraId="59CB3D6E" w14:textId="77777777" w:rsidR="002246CB" w:rsidRDefault="002246CB">
            <w:pPr>
              <w:snapToGrid w:val="0"/>
              <w:ind w:left="72"/>
            </w:pPr>
          </w:p>
        </w:tc>
      </w:tr>
      <w:tr w:rsidR="002246CB" w14:paraId="732427FD" w14:textId="77777777" w:rsidTr="002246CB">
        <w:trPr>
          <w:trHeight w:val="23"/>
        </w:trPr>
        <w:tc>
          <w:tcPr>
            <w:tcW w:w="11530" w:type="dxa"/>
            <w:gridSpan w:val="5"/>
            <w:tcBorders>
              <w:top w:val="single" w:sz="4" w:space="0" w:color="008080"/>
              <w:left w:val="single" w:sz="4" w:space="0" w:color="008080"/>
              <w:bottom w:val="single" w:sz="4" w:space="0" w:color="008080"/>
              <w:right w:val="single" w:sz="4" w:space="0" w:color="008080"/>
            </w:tcBorders>
            <w:shd w:val="clear" w:color="auto" w:fill="DAEEF3" w:themeFill="accent5" w:themeFillTint="33"/>
          </w:tcPr>
          <w:p w14:paraId="60C7FC3A" w14:textId="77777777" w:rsidR="002246CB" w:rsidRDefault="002246CB">
            <w:pPr>
              <w:snapToGrid w:val="0"/>
              <w:ind w:left="72"/>
            </w:pPr>
            <w:r>
              <w:rPr>
                <w:rFonts w:ascii="Calibri" w:hAnsi="Calibri" w:cs="Calibri"/>
                <w:b/>
                <w:color w:val="1F497D"/>
                <w:sz w:val="22"/>
              </w:rPr>
              <w:t>Practice Recommendation: Implementation</w:t>
            </w:r>
          </w:p>
        </w:tc>
      </w:tr>
      <w:tr w:rsidR="002246CB" w14:paraId="1F3A7DCD" w14:textId="77777777" w:rsidTr="00B23A17">
        <w:trPr>
          <w:trHeight w:val="23"/>
        </w:trPr>
        <w:tc>
          <w:tcPr>
            <w:tcW w:w="4950" w:type="dxa"/>
            <w:tcBorders>
              <w:top w:val="single" w:sz="4" w:space="0" w:color="008080"/>
              <w:left w:val="single" w:sz="4" w:space="0" w:color="008080"/>
              <w:bottom w:val="single" w:sz="4" w:space="0" w:color="008080"/>
            </w:tcBorders>
            <w:shd w:val="clear" w:color="auto" w:fill="auto"/>
          </w:tcPr>
          <w:p w14:paraId="4D1F1CD4" w14:textId="77777777" w:rsidR="002246CB" w:rsidRDefault="002246CB" w:rsidP="002246CB">
            <w:pPr>
              <w:suppressAutoHyphens w:val="0"/>
              <w:autoSpaceDE w:val="0"/>
              <w:autoSpaceDN w:val="0"/>
              <w:adjustRightInd w:val="0"/>
              <w:ind w:left="398" w:hanging="398"/>
              <w:rPr>
                <w:rFonts w:ascii="Calibri" w:hAnsi="Calibri" w:cs="Calibri"/>
                <w:sz w:val="22"/>
                <w:szCs w:val="22"/>
              </w:rPr>
            </w:pPr>
            <w:r w:rsidRPr="002246CB">
              <w:rPr>
                <w:rFonts w:asciiTheme="minorHAnsi" w:hAnsiTheme="minorHAnsi"/>
                <w:sz w:val="22"/>
                <w:lang w:eastAsia="en-US"/>
              </w:rPr>
              <w:t>3.1 Respond to alleged or suspected abuse and neglect according to legal requirements and organizational policies or procedures.</w:t>
            </w:r>
            <w:r>
              <w:rPr>
                <w:rFonts w:ascii="Calibri" w:hAnsi="Calibri" w:cs="Calibri"/>
                <w:sz w:val="22"/>
                <w:szCs w:val="22"/>
              </w:rPr>
              <w:t xml:space="preserve"> </w:t>
            </w:r>
          </w:p>
          <w:p w14:paraId="3DA1DE09" w14:textId="77777777" w:rsidR="002246CB" w:rsidRPr="002246CB" w:rsidRDefault="002246CB" w:rsidP="002246CB">
            <w:pPr>
              <w:suppressAutoHyphens w:val="0"/>
              <w:autoSpaceDE w:val="0"/>
              <w:autoSpaceDN w:val="0"/>
              <w:adjustRightInd w:val="0"/>
              <w:ind w:left="398" w:hanging="398"/>
              <w:rPr>
                <w:rFonts w:asciiTheme="minorHAnsi" w:hAnsiTheme="minorHAnsi"/>
                <w:sz w:val="22"/>
                <w:lang w:eastAsia="en-US"/>
              </w:rPr>
            </w:pPr>
            <w:r>
              <w:rPr>
                <w:rFonts w:ascii="Calibri" w:hAnsi="Calibri" w:cs="Calibri"/>
                <w:color w:val="1F497D"/>
                <w:sz w:val="20"/>
              </w:rPr>
              <w:t>(Level of Evidence = V)</w:t>
            </w:r>
          </w:p>
        </w:tc>
        <w:tc>
          <w:tcPr>
            <w:tcW w:w="504" w:type="dxa"/>
            <w:tcBorders>
              <w:top w:val="single" w:sz="4" w:space="0" w:color="008080"/>
              <w:left w:val="single" w:sz="4" w:space="0" w:color="008080"/>
              <w:bottom w:val="single" w:sz="4" w:space="0" w:color="008080"/>
            </w:tcBorders>
            <w:shd w:val="clear" w:color="auto" w:fill="auto"/>
          </w:tcPr>
          <w:p w14:paraId="05CFE420" w14:textId="77777777" w:rsidR="002246CB" w:rsidRDefault="002246CB">
            <w:pPr>
              <w:snapToGrid w:val="0"/>
              <w:ind w:left="72"/>
            </w:pPr>
          </w:p>
        </w:tc>
        <w:tc>
          <w:tcPr>
            <w:tcW w:w="504" w:type="dxa"/>
            <w:tcBorders>
              <w:top w:val="single" w:sz="4" w:space="0" w:color="008080"/>
              <w:left w:val="single" w:sz="4" w:space="0" w:color="008080"/>
              <w:bottom w:val="single" w:sz="4" w:space="0" w:color="008080"/>
            </w:tcBorders>
            <w:shd w:val="clear" w:color="auto" w:fill="auto"/>
          </w:tcPr>
          <w:p w14:paraId="136F65D6" w14:textId="77777777" w:rsidR="002246CB" w:rsidRDefault="002246CB">
            <w:pPr>
              <w:snapToGrid w:val="0"/>
              <w:ind w:left="72"/>
            </w:pPr>
          </w:p>
        </w:tc>
        <w:tc>
          <w:tcPr>
            <w:tcW w:w="504" w:type="dxa"/>
            <w:tcBorders>
              <w:top w:val="single" w:sz="4" w:space="0" w:color="008080"/>
              <w:left w:val="single" w:sz="4" w:space="0" w:color="008080"/>
              <w:bottom w:val="single" w:sz="4" w:space="0" w:color="008080"/>
            </w:tcBorders>
            <w:shd w:val="clear" w:color="auto" w:fill="auto"/>
          </w:tcPr>
          <w:p w14:paraId="33A27DC9" w14:textId="77777777" w:rsidR="002246CB" w:rsidRDefault="002246CB">
            <w:pPr>
              <w:snapToGrid w:val="0"/>
              <w:ind w:left="72"/>
            </w:pPr>
          </w:p>
        </w:tc>
        <w:tc>
          <w:tcPr>
            <w:tcW w:w="5068" w:type="dxa"/>
            <w:tcBorders>
              <w:top w:val="single" w:sz="4" w:space="0" w:color="008080"/>
              <w:left w:val="single" w:sz="4" w:space="0" w:color="008080"/>
              <w:bottom w:val="single" w:sz="4" w:space="0" w:color="008080"/>
              <w:right w:val="single" w:sz="4" w:space="0" w:color="008080"/>
            </w:tcBorders>
            <w:shd w:val="clear" w:color="auto" w:fill="auto"/>
          </w:tcPr>
          <w:p w14:paraId="7BC066F3" w14:textId="77777777" w:rsidR="002246CB" w:rsidRDefault="002246CB">
            <w:pPr>
              <w:snapToGrid w:val="0"/>
              <w:ind w:left="72"/>
            </w:pPr>
          </w:p>
        </w:tc>
      </w:tr>
      <w:tr w:rsidR="002246CB" w14:paraId="16F95C68" w14:textId="77777777" w:rsidTr="00B23A17">
        <w:trPr>
          <w:trHeight w:val="23"/>
        </w:trPr>
        <w:tc>
          <w:tcPr>
            <w:tcW w:w="4950" w:type="dxa"/>
            <w:tcBorders>
              <w:top w:val="single" w:sz="4" w:space="0" w:color="008080"/>
              <w:left w:val="single" w:sz="4" w:space="0" w:color="008080"/>
              <w:bottom w:val="single" w:sz="4" w:space="0" w:color="008080"/>
            </w:tcBorders>
            <w:shd w:val="clear" w:color="auto" w:fill="auto"/>
          </w:tcPr>
          <w:p w14:paraId="21F8EF53" w14:textId="77777777" w:rsidR="002246CB" w:rsidRPr="002246CB" w:rsidRDefault="002246CB" w:rsidP="002246CB">
            <w:pPr>
              <w:suppressAutoHyphens w:val="0"/>
              <w:autoSpaceDE w:val="0"/>
              <w:autoSpaceDN w:val="0"/>
              <w:adjustRightInd w:val="0"/>
              <w:ind w:left="398" w:hanging="398"/>
              <w:rPr>
                <w:rFonts w:asciiTheme="minorHAnsi" w:hAnsiTheme="minorHAnsi"/>
                <w:sz w:val="22"/>
                <w:lang w:eastAsia="en-US"/>
              </w:rPr>
            </w:pPr>
            <w:r w:rsidRPr="002246CB">
              <w:rPr>
                <w:rFonts w:asciiTheme="minorHAnsi" w:hAnsiTheme="minorHAnsi"/>
                <w:sz w:val="22"/>
                <w:lang w:eastAsia="en-US"/>
              </w:rPr>
              <w:t>3.2 Implement an individualized plan of care that incorporates multiple strategies to prevent or address harm, including:</w:t>
            </w:r>
          </w:p>
          <w:p w14:paraId="6602126D" w14:textId="77777777" w:rsidR="002246CB" w:rsidRDefault="002246CB" w:rsidP="002246CB">
            <w:pPr>
              <w:pStyle w:val="ListParagraph"/>
              <w:numPr>
                <w:ilvl w:val="0"/>
                <w:numId w:val="3"/>
              </w:numPr>
              <w:rPr>
                <w:rFonts w:ascii="Calibri" w:hAnsi="Calibri" w:cs="Calibri"/>
                <w:sz w:val="22"/>
                <w:szCs w:val="22"/>
              </w:rPr>
            </w:pPr>
            <w:r>
              <w:rPr>
                <w:rFonts w:ascii="Calibri" w:hAnsi="Calibri" w:cs="Calibri"/>
                <w:sz w:val="22"/>
                <w:szCs w:val="22"/>
              </w:rPr>
              <w:t>Education and support for older adults and family members,</w:t>
            </w:r>
          </w:p>
          <w:p w14:paraId="7889C02D" w14:textId="77777777" w:rsidR="002246CB" w:rsidRDefault="002246CB" w:rsidP="002246CB">
            <w:pPr>
              <w:pStyle w:val="ListParagraph"/>
              <w:numPr>
                <w:ilvl w:val="0"/>
                <w:numId w:val="3"/>
              </w:numPr>
              <w:rPr>
                <w:rFonts w:ascii="Calibri" w:hAnsi="Calibri" w:cs="Calibri"/>
                <w:sz w:val="22"/>
                <w:szCs w:val="22"/>
              </w:rPr>
            </w:pPr>
            <w:r>
              <w:rPr>
                <w:rFonts w:ascii="Calibri" w:hAnsi="Calibri" w:cs="Calibri"/>
                <w:sz w:val="22"/>
                <w:szCs w:val="22"/>
              </w:rPr>
              <w:t xml:space="preserve">Interventions and supports for those who abuse or neglect, </w:t>
            </w:r>
          </w:p>
          <w:p w14:paraId="579E83B8" w14:textId="77777777" w:rsidR="002246CB" w:rsidRDefault="002246CB" w:rsidP="002246CB">
            <w:pPr>
              <w:pStyle w:val="ListParagraph"/>
              <w:numPr>
                <w:ilvl w:val="0"/>
                <w:numId w:val="3"/>
              </w:numPr>
              <w:rPr>
                <w:rFonts w:ascii="Calibri" w:hAnsi="Calibri" w:cs="Calibri"/>
                <w:sz w:val="22"/>
                <w:szCs w:val="22"/>
              </w:rPr>
            </w:pPr>
            <w:r>
              <w:rPr>
                <w:rFonts w:ascii="Calibri" w:hAnsi="Calibri" w:cs="Calibri"/>
                <w:sz w:val="22"/>
                <w:szCs w:val="22"/>
              </w:rPr>
              <w:t>Providing resources/referrals, and</w:t>
            </w:r>
          </w:p>
          <w:p w14:paraId="77300FF8" w14:textId="77777777" w:rsidR="002246CB" w:rsidRDefault="002246CB" w:rsidP="002246CB">
            <w:pPr>
              <w:pStyle w:val="ListParagraph"/>
              <w:numPr>
                <w:ilvl w:val="0"/>
                <w:numId w:val="3"/>
              </w:numPr>
              <w:rPr>
                <w:rFonts w:ascii="Calibri" w:eastAsia="Calibri" w:hAnsi="Calibri" w:cs="Calibri"/>
                <w:color w:val="1F497D"/>
                <w:sz w:val="20"/>
              </w:rPr>
            </w:pPr>
            <w:r>
              <w:rPr>
                <w:rFonts w:ascii="Calibri" w:hAnsi="Calibri" w:cs="Calibri"/>
                <w:sz w:val="22"/>
                <w:szCs w:val="22"/>
              </w:rPr>
              <w:t xml:space="preserve">Development of a safety plan. </w:t>
            </w:r>
          </w:p>
          <w:p w14:paraId="09E18D0A" w14:textId="77777777" w:rsidR="002246CB" w:rsidRPr="002246CB" w:rsidRDefault="002246CB" w:rsidP="002246CB">
            <w:pPr>
              <w:suppressAutoHyphens w:val="0"/>
              <w:autoSpaceDE w:val="0"/>
              <w:autoSpaceDN w:val="0"/>
              <w:adjustRightInd w:val="0"/>
              <w:ind w:left="398" w:hanging="398"/>
              <w:rPr>
                <w:rFonts w:asciiTheme="minorHAnsi" w:hAnsiTheme="minorHAnsi"/>
                <w:sz w:val="22"/>
                <w:lang w:eastAsia="en-US"/>
              </w:rPr>
            </w:pPr>
            <w:r>
              <w:rPr>
                <w:rFonts w:ascii="Calibri" w:hAnsi="Calibri" w:cs="Calibri"/>
                <w:color w:val="1F497D"/>
                <w:sz w:val="20"/>
              </w:rPr>
              <w:t>(Level of Evidence = IV - V)</w:t>
            </w:r>
          </w:p>
        </w:tc>
        <w:tc>
          <w:tcPr>
            <w:tcW w:w="504" w:type="dxa"/>
            <w:tcBorders>
              <w:top w:val="single" w:sz="4" w:space="0" w:color="008080"/>
              <w:left w:val="single" w:sz="4" w:space="0" w:color="008080"/>
              <w:bottom w:val="single" w:sz="4" w:space="0" w:color="008080"/>
            </w:tcBorders>
            <w:shd w:val="clear" w:color="auto" w:fill="auto"/>
          </w:tcPr>
          <w:p w14:paraId="2CEC7A7F" w14:textId="77777777" w:rsidR="002246CB" w:rsidRDefault="002246CB">
            <w:pPr>
              <w:snapToGrid w:val="0"/>
              <w:ind w:left="72"/>
            </w:pPr>
          </w:p>
        </w:tc>
        <w:tc>
          <w:tcPr>
            <w:tcW w:w="504" w:type="dxa"/>
            <w:tcBorders>
              <w:top w:val="single" w:sz="4" w:space="0" w:color="008080"/>
              <w:left w:val="single" w:sz="4" w:space="0" w:color="008080"/>
              <w:bottom w:val="single" w:sz="4" w:space="0" w:color="008080"/>
            </w:tcBorders>
            <w:shd w:val="clear" w:color="auto" w:fill="auto"/>
          </w:tcPr>
          <w:p w14:paraId="07242704" w14:textId="77777777" w:rsidR="002246CB" w:rsidRDefault="002246CB">
            <w:pPr>
              <w:snapToGrid w:val="0"/>
              <w:ind w:left="72"/>
            </w:pPr>
          </w:p>
        </w:tc>
        <w:tc>
          <w:tcPr>
            <w:tcW w:w="504" w:type="dxa"/>
            <w:tcBorders>
              <w:top w:val="single" w:sz="4" w:space="0" w:color="008080"/>
              <w:left w:val="single" w:sz="4" w:space="0" w:color="008080"/>
              <w:bottom w:val="single" w:sz="4" w:space="0" w:color="008080"/>
            </w:tcBorders>
            <w:shd w:val="clear" w:color="auto" w:fill="auto"/>
          </w:tcPr>
          <w:p w14:paraId="10F985DE" w14:textId="77777777" w:rsidR="002246CB" w:rsidRDefault="002246CB">
            <w:pPr>
              <w:snapToGrid w:val="0"/>
              <w:ind w:left="72"/>
            </w:pPr>
          </w:p>
        </w:tc>
        <w:tc>
          <w:tcPr>
            <w:tcW w:w="5068" w:type="dxa"/>
            <w:tcBorders>
              <w:top w:val="single" w:sz="4" w:space="0" w:color="008080"/>
              <w:left w:val="single" w:sz="4" w:space="0" w:color="008080"/>
              <w:bottom w:val="single" w:sz="4" w:space="0" w:color="008080"/>
              <w:right w:val="single" w:sz="4" w:space="0" w:color="008080"/>
            </w:tcBorders>
            <w:shd w:val="clear" w:color="auto" w:fill="auto"/>
          </w:tcPr>
          <w:p w14:paraId="4F915F14" w14:textId="77777777" w:rsidR="002246CB" w:rsidRDefault="002246CB">
            <w:pPr>
              <w:snapToGrid w:val="0"/>
              <w:ind w:left="72"/>
            </w:pPr>
          </w:p>
        </w:tc>
      </w:tr>
      <w:tr w:rsidR="002246CB" w14:paraId="70DC74A2" w14:textId="77777777" w:rsidTr="002246CB">
        <w:trPr>
          <w:trHeight w:val="23"/>
        </w:trPr>
        <w:tc>
          <w:tcPr>
            <w:tcW w:w="11530" w:type="dxa"/>
            <w:gridSpan w:val="5"/>
            <w:tcBorders>
              <w:top w:val="single" w:sz="4" w:space="0" w:color="008080"/>
              <w:left w:val="single" w:sz="4" w:space="0" w:color="008080"/>
              <w:bottom w:val="single" w:sz="4" w:space="0" w:color="008080"/>
              <w:right w:val="single" w:sz="4" w:space="0" w:color="008080"/>
            </w:tcBorders>
            <w:shd w:val="clear" w:color="auto" w:fill="DAEEF3" w:themeFill="accent5" w:themeFillTint="33"/>
          </w:tcPr>
          <w:p w14:paraId="775AC8F6" w14:textId="77777777" w:rsidR="002246CB" w:rsidRDefault="002246CB">
            <w:pPr>
              <w:snapToGrid w:val="0"/>
              <w:ind w:left="72"/>
            </w:pPr>
            <w:r>
              <w:rPr>
                <w:rFonts w:ascii="Calibri" w:hAnsi="Calibri" w:cs="Calibri"/>
                <w:b/>
                <w:color w:val="1F497D"/>
                <w:sz w:val="22"/>
              </w:rPr>
              <w:t>Practice Recommendation: Evaluation</w:t>
            </w:r>
          </w:p>
        </w:tc>
      </w:tr>
      <w:tr w:rsidR="002246CB" w14:paraId="53E38AD2" w14:textId="77777777" w:rsidTr="00B23A17">
        <w:trPr>
          <w:trHeight w:val="23"/>
        </w:trPr>
        <w:tc>
          <w:tcPr>
            <w:tcW w:w="4950" w:type="dxa"/>
            <w:tcBorders>
              <w:top w:val="single" w:sz="4" w:space="0" w:color="008080"/>
              <w:left w:val="single" w:sz="4" w:space="0" w:color="008080"/>
              <w:bottom w:val="single" w:sz="4" w:space="0" w:color="008080"/>
            </w:tcBorders>
            <w:shd w:val="clear" w:color="auto" w:fill="auto"/>
          </w:tcPr>
          <w:p w14:paraId="54736103" w14:textId="77777777" w:rsidR="000C6CB0" w:rsidRDefault="002246CB" w:rsidP="002246CB">
            <w:pPr>
              <w:suppressAutoHyphens w:val="0"/>
              <w:autoSpaceDE w:val="0"/>
              <w:autoSpaceDN w:val="0"/>
              <w:adjustRightInd w:val="0"/>
              <w:ind w:left="398" w:hanging="398"/>
              <w:rPr>
                <w:rFonts w:ascii="Calibri" w:hAnsi="Calibri" w:cs="Calibri"/>
                <w:sz w:val="22"/>
                <w:szCs w:val="22"/>
              </w:rPr>
            </w:pPr>
            <w:r w:rsidRPr="002246CB">
              <w:rPr>
                <w:rFonts w:asciiTheme="minorHAnsi" w:hAnsiTheme="minorHAnsi"/>
                <w:sz w:val="22"/>
                <w:lang w:eastAsia="en-US"/>
              </w:rPr>
              <w:t>4.1 Collaborate with the older adult, family and interprofessional team, as appropriate, to evaluate and revise the plan of care, recognizing that some instances of abuse and neglect will not resolve easily.</w:t>
            </w:r>
            <w:r>
              <w:rPr>
                <w:rFonts w:ascii="Calibri" w:hAnsi="Calibri" w:cs="Calibri"/>
                <w:sz w:val="22"/>
                <w:szCs w:val="22"/>
              </w:rPr>
              <w:t xml:space="preserve"> </w:t>
            </w:r>
          </w:p>
          <w:p w14:paraId="695D9B29" w14:textId="77777777" w:rsidR="002246CB" w:rsidRPr="002246CB" w:rsidRDefault="002246CB" w:rsidP="002246CB">
            <w:pPr>
              <w:suppressAutoHyphens w:val="0"/>
              <w:autoSpaceDE w:val="0"/>
              <w:autoSpaceDN w:val="0"/>
              <w:adjustRightInd w:val="0"/>
              <w:ind w:left="398" w:hanging="398"/>
              <w:rPr>
                <w:rFonts w:asciiTheme="minorHAnsi" w:hAnsiTheme="minorHAnsi"/>
                <w:sz w:val="22"/>
                <w:lang w:eastAsia="en-US"/>
              </w:rPr>
            </w:pPr>
            <w:r>
              <w:rPr>
                <w:rFonts w:ascii="Calibri" w:hAnsi="Calibri" w:cs="Calibri"/>
                <w:color w:val="1F497D"/>
                <w:sz w:val="20"/>
              </w:rPr>
              <w:t>(Level of Evidence = V)</w:t>
            </w:r>
          </w:p>
        </w:tc>
        <w:tc>
          <w:tcPr>
            <w:tcW w:w="504" w:type="dxa"/>
            <w:tcBorders>
              <w:top w:val="single" w:sz="4" w:space="0" w:color="008080"/>
              <w:left w:val="single" w:sz="4" w:space="0" w:color="008080"/>
              <w:bottom w:val="single" w:sz="4" w:space="0" w:color="008080"/>
            </w:tcBorders>
            <w:shd w:val="clear" w:color="auto" w:fill="auto"/>
          </w:tcPr>
          <w:p w14:paraId="47166363" w14:textId="77777777" w:rsidR="002246CB" w:rsidRDefault="002246CB">
            <w:pPr>
              <w:snapToGrid w:val="0"/>
              <w:ind w:left="72"/>
            </w:pPr>
          </w:p>
        </w:tc>
        <w:tc>
          <w:tcPr>
            <w:tcW w:w="504" w:type="dxa"/>
            <w:tcBorders>
              <w:top w:val="single" w:sz="4" w:space="0" w:color="008080"/>
              <w:left w:val="single" w:sz="4" w:space="0" w:color="008080"/>
              <w:bottom w:val="single" w:sz="4" w:space="0" w:color="008080"/>
            </w:tcBorders>
            <w:shd w:val="clear" w:color="auto" w:fill="auto"/>
          </w:tcPr>
          <w:p w14:paraId="40EFB198" w14:textId="77777777" w:rsidR="002246CB" w:rsidRDefault="002246CB">
            <w:pPr>
              <w:snapToGrid w:val="0"/>
              <w:ind w:left="72"/>
            </w:pPr>
          </w:p>
        </w:tc>
        <w:tc>
          <w:tcPr>
            <w:tcW w:w="504" w:type="dxa"/>
            <w:tcBorders>
              <w:top w:val="single" w:sz="4" w:space="0" w:color="008080"/>
              <w:left w:val="single" w:sz="4" w:space="0" w:color="008080"/>
              <w:bottom w:val="single" w:sz="4" w:space="0" w:color="008080"/>
            </w:tcBorders>
            <w:shd w:val="clear" w:color="auto" w:fill="auto"/>
          </w:tcPr>
          <w:p w14:paraId="467CEBE3" w14:textId="77777777" w:rsidR="002246CB" w:rsidRDefault="002246CB">
            <w:pPr>
              <w:snapToGrid w:val="0"/>
              <w:ind w:left="72"/>
            </w:pPr>
          </w:p>
        </w:tc>
        <w:tc>
          <w:tcPr>
            <w:tcW w:w="5068" w:type="dxa"/>
            <w:tcBorders>
              <w:top w:val="single" w:sz="4" w:space="0" w:color="008080"/>
              <w:left w:val="single" w:sz="4" w:space="0" w:color="008080"/>
              <w:bottom w:val="single" w:sz="4" w:space="0" w:color="008080"/>
              <w:right w:val="single" w:sz="4" w:space="0" w:color="008080"/>
            </w:tcBorders>
            <w:shd w:val="clear" w:color="auto" w:fill="auto"/>
          </w:tcPr>
          <w:p w14:paraId="41722ADF" w14:textId="77777777" w:rsidR="002246CB" w:rsidRDefault="002246CB">
            <w:pPr>
              <w:snapToGrid w:val="0"/>
              <w:ind w:left="72"/>
            </w:pPr>
          </w:p>
        </w:tc>
      </w:tr>
      <w:tr w:rsidR="000C6CB0" w14:paraId="61424C3E" w14:textId="77777777" w:rsidTr="000C6CB0">
        <w:trPr>
          <w:trHeight w:val="23"/>
        </w:trPr>
        <w:tc>
          <w:tcPr>
            <w:tcW w:w="11530" w:type="dxa"/>
            <w:gridSpan w:val="5"/>
            <w:tcBorders>
              <w:top w:val="single" w:sz="4" w:space="0" w:color="008080"/>
              <w:left w:val="single" w:sz="4" w:space="0" w:color="008080"/>
              <w:bottom w:val="single" w:sz="4" w:space="0" w:color="008080"/>
              <w:right w:val="single" w:sz="4" w:space="0" w:color="008080"/>
            </w:tcBorders>
            <w:shd w:val="clear" w:color="auto" w:fill="DAEEF3" w:themeFill="accent5" w:themeFillTint="33"/>
          </w:tcPr>
          <w:p w14:paraId="5B518403" w14:textId="77777777" w:rsidR="000C6CB0" w:rsidRDefault="000C6CB0">
            <w:pPr>
              <w:snapToGrid w:val="0"/>
              <w:ind w:left="72"/>
            </w:pPr>
            <w:r>
              <w:rPr>
                <w:rFonts w:ascii="Calibri" w:hAnsi="Calibri" w:cs="Calibri"/>
                <w:b/>
                <w:color w:val="1F497D"/>
                <w:sz w:val="22"/>
              </w:rPr>
              <w:t>Education Recommendation: Education</w:t>
            </w:r>
          </w:p>
        </w:tc>
      </w:tr>
      <w:tr w:rsidR="000C6CB0" w14:paraId="5F69E8D8" w14:textId="77777777" w:rsidTr="00B23A17">
        <w:trPr>
          <w:trHeight w:val="23"/>
        </w:trPr>
        <w:tc>
          <w:tcPr>
            <w:tcW w:w="4950" w:type="dxa"/>
            <w:tcBorders>
              <w:top w:val="single" w:sz="4" w:space="0" w:color="008080"/>
              <w:left w:val="single" w:sz="4" w:space="0" w:color="008080"/>
              <w:bottom w:val="single" w:sz="4" w:space="0" w:color="008080"/>
            </w:tcBorders>
            <w:shd w:val="clear" w:color="auto" w:fill="auto"/>
          </w:tcPr>
          <w:p w14:paraId="4773C89B" w14:textId="77777777" w:rsidR="000C6CB0" w:rsidRPr="002246CB" w:rsidRDefault="000C6CB0" w:rsidP="000C6CB0">
            <w:pPr>
              <w:suppressAutoHyphens w:val="0"/>
              <w:autoSpaceDE w:val="0"/>
              <w:autoSpaceDN w:val="0"/>
              <w:adjustRightInd w:val="0"/>
              <w:ind w:left="398" w:hanging="398"/>
              <w:rPr>
                <w:rFonts w:asciiTheme="minorHAnsi" w:hAnsiTheme="minorHAnsi"/>
                <w:sz w:val="22"/>
                <w:lang w:eastAsia="en-US"/>
              </w:rPr>
            </w:pPr>
            <w:r w:rsidRPr="002246CB">
              <w:rPr>
                <w:rFonts w:asciiTheme="minorHAnsi" w:hAnsiTheme="minorHAnsi"/>
                <w:sz w:val="22"/>
                <w:lang w:eastAsia="en-US"/>
              </w:rPr>
              <w:t>5.1 All employees across all health-care organizations that serve older adults participate in mandatory education that raises awareness about:</w:t>
            </w:r>
          </w:p>
          <w:p w14:paraId="3FE3B33B" w14:textId="77777777" w:rsidR="000C6CB0" w:rsidRPr="002246CB" w:rsidRDefault="000C6CB0" w:rsidP="000C6CB0">
            <w:pPr>
              <w:numPr>
                <w:ilvl w:val="0"/>
                <w:numId w:val="6"/>
              </w:numPr>
              <w:rPr>
                <w:rFonts w:asciiTheme="minorHAnsi" w:hAnsiTheme="minorHAnsi"/>
                <w:sz w:val="22"/>
                <w:lang w:eastAsia="en-US"/>
              </w:rPr>
            </w:pPr>
            <w:r w:rsidRPr="002246CB">
              <w:rPr>
                <w:rFonts w:asciiTheme="minorHAnsi" w:hAnsiTheme="minorHAnsi"/>
                <w:sz w:val="22"/>
                <w:lang w:eastAsia="en-US"/>
              </w:rPr>
              <w:t>ageism;</w:t>
            </w:r>
          </w:p>
          <w:p w14:paraId="1D5FBEDE" w14:textId="77777777" w:rsidR="000C6CB0" w:rsidRPr="002246CB" w:rsidRDefault="000C6CB0" w:rsidP="000C6CB0">
            <w:pPr>
              <w:numPr>
                <w:ilvl w:val="0"/>
                <w:numId w:val="6"/>
              </w:numPr>
              <w:rPr>
                <w:rFonts w:asciiTheme="minorHAnsi" w:hAnsiTheme="minorHAnsi"/>
                <w:sz w:val="22"/>
                <w:lang w:eastAsia="en-US"/>
              </w:rPr>
            </w:pPr>
            <w:r w:rsidRPr="002246CB">
              <w:rPr>
                <w:rFonts w:asciiTheme="minorHAnsi" w:hAnsiTheme="minorHAnsi"/>
                <w:sz w:val="22"/>
                <w:lang w:eastAsia="en-US"/>
              </w:rPr>
              <w:t>the rights of older adults;</w:t>
            </w:r>
          </w:p>
          <w:p w14:paraId="7D2A1BB8" w14:textId="77777777" w:rsidR="000C6CB0" w:rsidRPr="002246CB" w:rsidRDefault="000C6CB0" w:rsidP="000C6CB0">
            <w:pPr>
              <w:numPr>
                <w:ilvl w:val="0"/>
                <w:numId w:val="6"/>
              </w:numPr>
              <w:rPr>
                <w:rFonts w:asciiTheme="minorHAnsi" w:hAnsiTheme="minorHAnsi"/>
                <w:sz w:val="22"/>
                <w:lang w:eastAsia="en-US"/>
              </w:rPr>
            </w:pPr>
            <w:r w:rsidRPr="002246CB">
              <w:rPr>
                <w:rFonts w:asciiTheme="minorHAnsi" w:hAnsiTheme="minorHAnsi"/>
                <w:sz w:val="22"/>
                <w:lang w:eastAsia="en-US"/>
              </w:rPr>
              <w:t>the types, pr</w:t>
            </w:r>
            <w:r>
              <w:rPr>
                <w:rFonts w:asciiTheme="minorHAnsi" w:hAnsiTheme="minorHAnsi"/>
                <w:sz w:val="22"/>
                <w:lang w:eastAsia="en-US"/>
              </w:rPr>
              <w:t xml:space="preserve">evalence and signs of abuse and </w:t>
            </w:r>
            <w:r w:rsidRPr="002246CB">
              <w:rPr>
                <w:rFonts w:asciiTheme="minorHAnsi" w:hAnsiTheme="minorHAnsi"/>
                <w:sz w:val="22"/>
                <w:lang w:eastAsia="en-US"/>
              </w:rPr>
              <w:t>neglect of older adults;</w:t>
            </w:r>
          </w:p>
          <w:p w14:paraId="53765036" w14:textId="77777777" w:rsidR="000C6CB0" w:rsidRPr="002246CB" w:rsidRDefault="000C6CB0" w:rsidP="000C6CB0">
            <w:pPr>
              <w:numPr>
                <w:ilvl w:val="0"/>
                <w:numId w:val="6"/>
              </w:numPr>
              <w:rPr>
                <w:rFonts w:asciiTheme="minorHAnsi" w:hAnsiTheme="minorHAnsi"/>
                <w:sz w:val="22"/>
                <w:lang w:eastAsia="en-US"/>
              </w:rPr>
            </w:pPr>
            <w:r w:rsidRPr="002246CB">
              <w:rPr>
                <w:rFonts w:asciiTheme="minorHAnsi" w:hAnsiTheme="minorHAnsi"/>
                <w:sz w:val="22"/>
                <w:lang w:eastAsia="en-US"/>
              </w:rPr>
              <w:t xml:space="preserve">factors that may contribute to abuse and neglect; and </w:t>
            </w:r>
          </w:p>
          <w:p w14:paraId="7CF016E2" w14:textId="77777777" w:rsidR="000C6CB0" w:rsidRPr="002246CB" w:rsidRDefault="000C6CB0" w:rsidP="000C6CB0">
            <w:pPr>
              <w:numPr>
                <w:ilvl w:val="0"/>
                <w:numId w:val="6"/>
              </w:numPr>
              <w:rPr>
                <w:rFonts w:asciiTheme="minorHAnsi" w:hAnsiTheme="minorHAnsi"/>
                <w:sz w:val="22"/>
                <w:lang w:eastAsia="en-US"/>
              </w:rPr>
            </w:pPr>
            <w:r w:rsidRPr="002246CB">
              <w:rPr>
                <w:rFonts w:asciiTheme="minorHAnsi" w:hAnsiTheme="minorHAnsi"/>
                <w:sz w:val="22"/>
                <w:lang w:eastAsia="en-US"/>
              </w:rPr>
              <w:t>individual roles and responsibilities with regard to responding or reporting abuse or neglect;</w:t>
            </w:r>
          </w:p>
          <w:p w14:paraId="21AAD231" w14:textId="77777777" w:rsidR="000C6CB0" w:rsidRPr="002246CB" w:rsidRDefault="000C6CB0" w:rsidP="000C6CB0">
            <w:pPr>
              <w:suppressAutoHyphens w:val="0"/>
              <w:autoSpaceDE w:val="0"/>
              <w:autoSpaceDN w:val="0"/>
              <w:adjustRightInd w:val="0"/>
              <w:ind w:left="398" w:hanging="398"/>
              <w:rPr>
                <w:rFonts w:asciiTheme="minorHAnsi" w:hAnsiTheme="minorHAnsi"/>
                <w:sz w:val="22"/>
                <w:lang w:eastAsia="en-US"/>
              </w:rPr>
            </w:pPr>
            <w:r>
              <w:rPr>
                <w:rFonts w:ascii="Calibri" w:hAnsi="Calibri" w:cs="Calibri"/>
                <w:color w:val="1F497D"/>
                <w:sz w:val="20"/>
              </w:rPr>
              <w:t>(Level of Evidence = V)</w:t>
            </w:r>
          </w:p>
        </w:tc>
        <w:tc>
          <w:tcPr>
            <w:tcW w:w="504" w:type="dxa"/>
            <w:tcBorders>
              <w:top w:val="single" w:sz="4" w:space="0" w:color="008080"/>
              <w:left w:val="single" w:sz="4" w:space="0" w:color="008080"/>
              <w:bottom w:val="single" w:sz="4" w:space="0" w:color="008080"/>
            </w:tcBorders>
            <w:shd w:val="clear" w:color="auto" w:fill="auto"/>
          </w:tcPr>
          <w:p w14:paraId="314E5F78" w14:textId="77777777" w:rsidR="000C6CB0" w:rsidRDefault="000C6CB0">
            <w:pPr>
              <w:snapToGrid w:val="0"/>
              <w:ind w:left="72"/>
            </w:pPr>
          </w:p>
        </w:tc>
        <w:tc>
          <w:tcPr>
            <w:tcW w:w="504" w:type="dxa"/>
            <w:tcBorders>
              <w:top w:val="single" w:sz="4" w:space="0" w:color="008080"/>
              <w:left w:val="single" w:sz="4" w:space="0" w:color="008080"/>
              <w:bottom w:val="single" w:sz="4" w:space="0" w:color="008080"/>
            </w:tcBorders>
            <w:shd w:val="clear" w:color="auto" w:fill="auto"/>
          </w:tcPr>
          <w:p w14:paraId="26B144E1" w14:textId="77777777" w:rsidR="000C6CB0" w:rsidRDefault="000C6CB0">
            <w:pPr>
              <w:snapToGrid w:val="0"/>
              <w:ind w:left="72"/>
            </w:pPr>
          </w:p>
        </w:tc>
        <w:tc>
          <w:tcPr>
            <w:tcW w:w="504" w:type="dxa"/>
            <w:tcBorders>
              <w:top w:val="single" w:sz="4" w:space="0" w:color="008080"/>
              <w:left w:val="single" w:sz="4" w:space="0" w:color="008080"/>
              <w:bottom w:val="single" w:sz="4" w:space="0" w:color="008080"/>
            </w:tcBorders>
            <w:shd w:val="clear" w:color="auto" w:fill="auto"/>
          </w:tcPr>
          <w:p w14:paraId="79AC2DBF" w14:textId="77777777" w:rsidR="000C6CB0" w:rsidRDefault="000C6CB0">
            <w:pPr>
              <w:snapToGrid w:val="0"/>
              <w:ind w:left="72"/>
            </w:pPr>
          </w:p>
        </w:tc>
        <w:tc>
          <w:tcPr>
            <w:tcW w:w="5068" w:type="dxa"/>
            <w:tcBorders>
              <w:top w:val="single" w:sz="4" w:space="0" w:color="008080"/>
              <w:left w:val="single" w:sz="4" w:space="0" w:color="008080"/>
              <w:bottom w:val="single" w:sz="4" w:space="0" w:color="008080"/>
              <w:right w:val="single" w:sz="4" w:space="0" w:color="008080"/>
            </w:tcBorders>
            <w:shd w:val="clear" w:color="auto" w:fill="auto"/>
          </w:tcPr>
          <w:p w14:paraId="5D63F990" w14:textId="77777777" w:rsidR="000C6CB0" w:rsidRDefault="000C6CB0">
            <w:pPr>
              <w:snapToGrid w:val="0"/>
              <w:ind w:left="72"/>
            </w:pPr>
          </w:p>
        </w:tc>
      </w:tr>
      <w:tr w:rsidR="000C6CB0" w14:paraId="76EAF567" w14:textId="77777777" w:rsidTr="00B23A17">
        <w:trPr>
          <w:trHeight w:val="23"/>
        </w:trPr>
        <w:tc>
          <w:tcPr>
            <w:tcW w:w="4950" w:type="dxa"/>
            <w:tcBorders>
              <w:top w:val="single" w:sz="4" w:space="0" w:color="008080"/>
              <w:left w:val="single" w:sz="4" w:space="0" w:color="008080"/>
              <w:bottom w:val="single" w:sz="4" w:space="0" w:color="008080"/>
            </w:tcBorders>
            <w:shd w:val="clear" w:color="auto" w:fill="auto"/>
          </w:tcPr>
          <w:p w14:paraId="7D169702" w14:textId="77777777" w:rsidR="000C6CB0" w:rsidRPr="000C6CB0" w:rsidRDefault="000C6CB0" w:rsidP="000C6CB0">
            <w:pPr>
              <w:suppressAutoHyphens w:val="0"/>
              <w:autoSpaceDE w:val="0"/>
              <w:autoSpaceDN w:val="0"/>
              <w:adjustRightInd w:val="0"/>
              <w:ind w:left="398" w:hanging="398"/>
              <w:rPr>
                <w:rFonts w:asciiTheme="minorHAnsi" w:hAnsiTheme="minorHAnsi"/>
                <w:sz w:val="22"/>
                <w:lang w:eastAsia="en-US"/>
              </w:rPr>
            </w:pPr>
            <w:r w:rsidRPr="000C6CB0">
              <w:rPr>
                <w:rFonts w:asciiTheme="minorHAnsi" w:hAnsiTheme="minorHAnsi"/>
                <w:sz w:val="22"/>
                <w:lang w:eastAsia="en-US"/>
              </w:rPr>
              <w:t>5.2 Nurses, other health-care providers, and supervisors who work in health-care organizations that provide care and services to older adults participate in mandatory and continuing education opportunities that include:</w:t>
            </w:r>
          </w:p>
          <w:p w14:paraId="66AC212F" w14:textId="77777777" w:rsidR="000C6CB0" w:rsidRPr="000C6CB0" w:rsidRDefault="000C6CB0" w:rsidP="000C6CB0">
            <w:pPr>
              <w:numPr>
                <w:ilvl w:val="0"/>
                <w:numId w:val="7"/>
              </w:numPr>
              <w:suppressAutoHyphens w:val="0"/>
              <w:autoSpaceDE w:val="0"/>
              <w:autoSpaceDN w:val="0"/>
              <w:adjustRightInd w:val="0"/>
              <w:rPr>
                <w:rFonts w:asciiTheme="minorHAnsi" w:hAnsiTheme="minorHAnsi"/>
                <w:sz w:val="22"/>
                <w:lang w:eastAsia="en-US"/>
              </w:rPr>
            </w:pPr>
            <w:r w:rsidRPr="000C6CB0">
              <w:rPr>
                <w:rFonts w:asciiTheme="minorHAnsi" w:hAnsiTheme="minorHAnsi"/>
                <w:sz w:val="22"/>
                <w:lang w:eastAsia="en-US"/>
              </w:rPr>
              <w:t>understanding issues of abuse and neglect;</w:t>
            </w:r>
          </w:p>
          <w:p w14:paraId="7481F2D8" w14:textId="77777777" w:rsidR="000C6CB0" w:rsidRPr="000C6CB0" w:rsidRDefault="000C6CB0" w:rsidP="000C6CB0">
            <w:pPr>
              <w:numPr>
                <w:ilvl w:val="0"/>
                <w:numId w:val="7"/>
              </w:numPr>
              <w:suppressAutoHyphens w:val="0"/>
              <w:autoSpaceDE w:val="0"/>
              <w:autoSpaceDN w:val="0"/>
              <w:adjustRightInd w:val="0"/>
              <w:rPr>
                <w:rFonts w:asciiTheme="minorHAnsi" w:hAnsiTheme="minorHAnsi"/>
                <w:sz w:val="22"/>
                <w:lang w:eastAsia="en-US"/>
              </w:rPr>
            </w:pPr>
            <w:r w:rsidRPr="000C6CB0">
              <w:rPr>
                <w:rFonts w:asciiTheme="minorHAnsi" w:hAnsiTheme="minorHAnsi"/>
                <w:sz w:val="22"/>
                <w:lang w:eastAsia="en-US"/>
              </w:rPr>
              <w:t>assessing and responding to abuse and neglect;</w:t>
            </w:r>
          </w:p>
          <w:p w14:paraId="384E4274" w14:textId="77777777" w:rsidR="000C6CB0" w:rsidRPr="000C6CB0" w:rsidRDefault="000C6CB0" w:rsidP="000C6CB0">
            <w:pPr>
              <w:numPr>
                <w:ilvl w:val="0"/>
                <w:numId w:val="7"/>
              </w:numPr>
              <w:suppressAutoHyphens w:val="0"/>
              <w:autoSpaceDE w:val="0"/>
              <w:autoSpaceDN w:val="0"/>
              <w:adjustRightInd w:val="0"/>
              <w:rPr>
                <w:rFonts w:asciiTheme="minorHAnsi" w:hAnsiTheme="minorHAnsi"/>
                <w:sz w:val="22"/>
                <w:lang w:eastAsia="en-US"/>
              </w:rPr>
            </w:pPr>
            <w:r w:rsidRPr="000C6CB0">
              <w:rPr>
                <w:rFonts w:asciiTheme="minorHAnsi" w:hAnsiTheme="minorHAnsi"/>
                <w:sz w:val="22"/>
                <w:lang w:eastAsia="en-US"/>
              </w:rPr>
              <w:t>roles and responsibilities and laws;</w:t>
            </w:r>
          </w:p>
          <w:p w14:paraId="2D582AE4" w14:textId="77777777" w:rsidR="000C6CB0" w:rsidRPr="000C6CB0" w:rsidRDefault="000C6CB0" w:rsidP="000C6CB0">
            <w:pPr>
              <w:numPr>
                <w:ilvl w:val="0"/>
                <w:numId w:val="7"/>
              </w:numPr>
              <w:suppressAutoHyphens w:val="0"/>
              <w:autoSpaceDE w:val="0"/>
              <w:autoSpaceDN w:val="0"/>
              <w:adjustRightInd w:val="0"/>
              <w:rPr>
                <w:rFonts w:asciiTheme="minorHAnsi" w:hAnsiTheme="minorHAnsi"/>
                <w:sz w:val="22"/>
                <w:lang w:eastAsia="en-US"/>
              </w:rPr>
            </w:pPr>
            <w:r w:rsidRPr="000C6CB0">
              <w:rPr>
                <w:rFonts w:asciiTheme="minorHAnsi" w:hAnsiTheme="minorHAnsi"/>
                <w:sz w:val="22"/>
                <w:lang w:eastAsia="en-US"/>
              </w:rPr>
              <w:lastRenderedPageBreak/>
              <w:t>positive approaches to working with older adults;</w:t>
            </w:r>
          </w:p>
          <w:p w14:paraId="2A7242FF" w14:textId="77777777" w:rsidR="000C6CB0" w:rsidRPr="000C6CB0" w:rsidRDefault="000C6CB0" w:rsidP="000C6CB0">
            <w:pPr>
              <w:numPr>
                <w:ilvl w:val="0"/>
                <w:numId w:val="7"/>
              </w:numPr>
              <w:suppressAutoHyphens w:val="0"/>
              <w:autoSpaceDE w:val="0"/>
              <w:autoSpaceDN w:val="0"/>
              <w:adjustRightInd w:val="0"/>
              <w:rPr>
                <w:rFonts w:asciiTheme="minorHAnsi" w:hAnsiTheme="minorHAnsi"/>
                <w:sz w:val="22"/>
                <w:lang w:eastAsia="en-US"/>
              </w:rPr>
            </w:pPr>
            <w:r w:rsidRPr="000C6CB0">
              <w:rPr>
                <w:rFonts w:asciiTheme="minorHAnsi" w:hAnsiTheme="minorHAnsi"/>
                <w:sz w:val="22"/>
                <w:lang w:eastAsia="en-US"/>
              </w:rPr>
              <w:t xml:space="preserve">effective strategies for challenging/responsive behaviours; and </w:t>
            </w:r>
          </w:p>
          <w:p w14:paraId="7C810620" w14:textId="77777777" w:rsidR="000C6CB0" w:rsidRPr="000C6CB0" w:rsidRDefault="000C6CB0" w:rsidP="000C6CB0">
            <w:pPr>
              <w:numPr>
                <w:ilvl w:val="0"/>
                <w:numId w:val="7"/>
              </w:numPr>
              <w:suppressAutoHyphens w:val="0"/>
              <w:autoSpaceDE w:val="0"/>
              <w:autoSpaceDN w:val="0"/>
              <w:adjustRightInd w:val="0"/>
              <w:rPr>
                <w:rFonts w:asciiTheme="minorHAnsi" w:hAnsiTheme="minorHAnsi"/>
                <w:sz w:val="22"/>
                <w:lang w:eastAsia="en-US"/>
              </w:rPr>
            </w:pPr>
            <w:r w:rsidRPr="000C6CB0">
              <w:rPr>
                <w:rFonts w:asciiTheme="minorHAnsi" w:hAnsiTheme="minorHAnsi"/>
                <w:sz w:val="22"/>
                <w:lang w:eastAsia="en-US"/>
              </w:rPr>
              <w:t>fostering a safe and healthy work environment and personal well being.</w:t>
            </w:r>
          </w:p>
          <w:p w14:paraId="7CD5037D" w14:textId="77777777" w:rsidR="000C6CB0" w:rsidRPr="002246CB" w:rsidRDefault="000C6CB0" w:rsidP="002246CB">
            <w:pPr>
              <w:suppressAutoHyphens w:val="0"/>
              <w:autoSpaceDE w:val="0"/>
              <w:autoSpaceDN w:val="0"/>
              <w:adjustRightInd w:val="0"/>
              <w:ind w:left="398" w:hanging="398"/>
              <w:rPr>
                <w:rFonts w:asciiTheme="minorHAnsi" w:hAnsiTheme="minorHAnsi"/>
                <w:sz w:val="22"/>
                <w:lang w:eastAsia="en-US"/>
              </w:rPr>
            </w:pPr>
            <w:r>
              <w:rPr>
                <w:rFonts w:ascii="Calibri" w:hAnsi="Calibri" w:cs="Calibri"/>
                <w:color w:val="1F497D"/>
                <w:sz w:val="20"/>
              </w:rPr>
              <w:t>(Level of Evidence = V)</w:t>
            </w:r>
          </w:p>
        </w:tc>
        <w:tc>
          <w:tcPr>
            <w:tcW w:w="504" w:type="dxa"/>
            <w:tcBorders>
              <w:top w:val="single" w:sz="4" w:space="0" w:color="008080"/>
              <w:left w:val="single" w:sz="4" w:space="0" w:color="008080"/>
              <w:bottom w:val="single" w:sz="4" w:space="0" w:color="008080"/>
            </w:tcBorders>
            <w:shd w:val="clear" w:color="auto" w:fill="auto"/>
          </w:tcPr>
          <w:p w14:paraId="12F3DB02" w14:textId="77777777" w:rsidR="000C6CB0" w:rsidRDefault="000C6CB0">
            <w:pPr>
              <w:snapToGrid w:val="0"/>
              <w:ind w:left="72"/>
            </w:pPr>
          </w:p>
        </w:tc>
        <w:tc>
          <w:tcPr>
            <w:tcW w:w="504" w:type="dxa"/>
            <w:tcBorders>
              <w:top w:val="single" w:sz="4" w:space="0" w:color="008080"/>
              <w:left w:val="single" w:sz="4" w:space="0" w:color="008080"/>
              <w:bottom w:val="single" w:sz="4" w:space="0" w:color="008080"/>
            </w:tcBorders>
            <w:shd w:val="clear" w:color="auto" w:fill="auto"/>
          </w:tcPr>
          <w:p w14:paraId="3025944C" w14:textId="77777777" w:rsidR="000C6CB0" w:rsidRDefault="000C6CB0">
            <w:pPr>
              <w:snapToGrid w:val="0"/>
              <w:ind w:left="72"/>
            </w:pPr>
          </w:p>
        </w:tc>
        <w:tc>
          <w:tcPr>
            <w:tcW w:w="504" w:type="dxa"/>
            <w:tcBorders>
              <w:top w:val="single" w:sz="4" w:space="0" w:color="008080"/>
              <w:left w:val="single" w:sz="4" w:space="0" w:color="008080"/>
              <w:bottom w:val="single" w:sz="4" w:space="0" w:color="008080"/>
            </w:tcBorders>
            <w:shd w:val="clear" w:color="auto" w:fill="auto"/>
          </w:tcPr>
          <w:p w14:paraId="2CB706C5" w14:textId="77777777" w:rsidR="000C6CB0" w:rsidRDefault="000C6CB0">
            <w:pPr>
              <w:snapToGrid w:val="0"/>
              <w:ind w:left="72"/>
            </w:pPr>
          </w:p>
        </w:tc>
        <w:tc>
          <w:tcPr>
            <w:tcW w:w="5068" w:type="dxa"/>
            <w:tcBorders>
              <w:top w:val="single" w:sz="4" w:space="0" w:color="008080"/>
              <w:left w:val="single" w:sz="4" w:space="0" w:color="008080"/>
              <w:bottom w:val="single" w:sz="4" w:space="0" w:color="008080"/>
              <w:right w:val="single" w:sz="4" w:space="0" w:color="008080"/>
            </w:tcBorders>
            <w:shd w:val="clear" w:color="auto" w:fill="auto"/>
          </w:tcPr>
          <w:p w14:paraId="048B8145" w14:textId="77777777" w:rsidR="000C6CB0" w:rsidRDefault="000C6CB0">
            <w:pPr>
              <w:snapToGrid w:val="0"/>
              <w:ind w:left="72"/>
            </w:pPr>
          </w:p>
        </w:tc>
      </w:tr>
      <w:tr w:rsidR="000C6CB0" w14:paraId="1629B462" w14:textId="77777777" w:rsidTr="00B23A17">
        <w:trPr>
          <w:trHeight w:val="23"/>
        </w:trPr>
        <w:tc>
          <w:tcPr>
            <w:tcW w:w="4950" w:type="dxa"/>
            <w:tcBorders>
              <w:top w:val="single" w:sz="4" w:space="0" w:color="008080"/>
              <w:left w:val="single" w:sz="4" w:space="0" w:color="008080"/>
              <w:bottom w:val="single" w:sz="4" w:space="0" w:color="008080"/>
            </w:tcBorders>
            <w:shd w:val="clear" w:color="auto" w:fill="auto"/>
          </w:tcPr>
          <w:p w14:paraId="2ED5593E" w14:textId="77777777" w:rsidR="000C6CB0" w:rsidRPr="000C6CB0" w:rsidRDefault="000C6CB0" w:rsidP="000C6CB0">
            <w:pPr>
              <w:suppressAutoHyphens w:val="0"/>
              <w:autoSpaceDE w:val="0"/>
              <w:autoSpaceDN w:val="0"/>
              <w:adjustRightInd w:val="0"/>
              <w:ind w:left="398" w:hanging="398"/>
              <w:rPr>
                <w:rFonts w:asciiTheme="minorHAnsi" w:hAnsiTheme="minorHAnsi"/>
                <w:sz w:val="22"/>
                <w:lang w:eastAsia="en-US"/>
              </w:rPr>
            </w:pPr>
            <w:r w:rsidRPr="000C6CB0">
              <w:rPr>
                <w:rFonts w:asciiTheme="minorHAnsi" w:hAnsiTheme="minorHAnsi"/>
                <w:sz w:val="22"/>
                <w:lang w:eastAsia="en-US"/>
              </w:rPr>
              <w:t>5.3 Educational institutions incorporate the RNAO Best Practice Guideline, Preventing and Addressing Abuse and Neglect of Older Adults: Person-Centred, Collaborative, System-Wide Approaches into curriculum for nurses and, as appropriate, for other health-care providers.</w:t>
            </w:r>
          </w:p>
          <w:p w14:paraId="49CD7DDC" w14:textId="77777777" w:rsidR="000C6CB0" w:rsidRPr="002246CB" w:rsidRDefault="000C6CB0" w:rsidP="000C6CB0">
            <w:pPr>
              <w:suppressAutoHyphens w:val="0"/>
              <w:autoSpaceDE w:val="0"/>
              <w:autoSpaceDN w:val="0"/>
              <w:adjustRightInd w:val="0"/>
              <w:ind w:left="398" w:hanging="398"/>
              <w:rPr>
                <w:rFonts w:asciiTheme="minorHAnsi" w:hAnsiTheme="minorHAnsi"/>
                <w:sz w:val="22"/>
                <w:lang w:eastAsia="en-US"/>
              </w:rPr>
            </w:pPr>
            <w:r>
              <w:rPr>
                <w:rFonts w:ascii="Calibri" w:hAnsi="Calibri" w:cs="Calibri"/>
                <w:color w:val="1F497D"/>
                <w:sz w:val="20"/>
              </w:rPr>
              <w:t>(Level of Evidence = V)</w:t>
            </w:r>
          </w:p>
        </w:tc>
        <w:tc>
          <w:tcPr>
            <w:tcW w:w="504" w:type="dxa"/>
            <w:tcBorders>
              <w:top w:val="single" w:sz="4" w:space="0" w:color="008080"/>
              <w:left w:val="single" w:sz="4" w:space="0" w:color="008080"/>
              <w:bottom w:val="single" w:sz="4" w:space="0" w:color="008080"/>
            </w:tcBorders>
            <w:shd w:val="clear" w:color="auto" w:fill="auto"/>
          </w:tcPr>
          <w:p w14:paraId="6B622EB2" w14:textId="77777777" w:rsidR="000C6CB0" w:rsidRDefault="000C6CB0">
            <w:pPr>
              <w:snapToGrid w:val="0"/>
              <w:ind w:left="72"/>
            </w:pPr>
          </w:p>
        </w:tc>
        <w:tc>
          <w:tcPr>
            <w:tcW w:w="504" w:type="dxa"/>
            <w:tcBorders>
              <w:top w:val="single" w:sz="4" w:space="0" w:color="008080"/>
              <w:left w:val="single" w:sz="4" w:space="0" w:color="008080"/>
              <w:bottom w:val="single" w:sz="4" w:space="0" w:color="008080"/>
            </w:tcBorders>
            <w:shd w:val="clear" w:color="auto" w:fill="auto"/>
          </w:tcPr>
          <w:p w14:paraId="30A65156" w14:textId="77777777" w:rsidR="000C6CB0" w:rsidRDefault="000C6CB0">
            <w:pPr>
              <w:snapToGrid w:val="0"/>
              <w:ind w:left="72"/>
            </w:pPr>
          </w:p>
        </w:tc>
        <w:tc>
          <w:tcPr>
            <w:tcW w:w="504" w:type="dxa"/>
            <w:tcBorders>
              <w:top w:val="single" w:sz="4" w:space="0" w:color="008080"/>
              <w:left w:val="single" w:sz="4" w:space="0" w:color="008080"/>
              <w:bottom w:val="single" w:sz="4" w:space="0" w:color="008080"/>
            </w:tcBorders>
            <w:shd w:val="clear" w:color="auto" w:fill="auto"/>
          </w:tcPr>
          <w:p w14:paraId="778B0EA8" w14:textId="77777777" w:rsidR="000C6CB0" w:rsidRDefault="000C6CB0">
            <w:pPr>
              <w:snapToGrid w:val="0"/>
              <w:ind w:left="72"/>
            </w:pPr>
          </w:p>
        </w:tc>
        <w:tc>
          <w:tcPr>
            <w:tcW w:w="5068" w:type="dxa"/>
            <w:tcBorders>
              <w:top w:val="single" w:sz="4" w:space="0" w:color="008080"/>
              <w:left w:val="single" w:sz="4" w:space="0" w:color="008080"/>
              <w:bottom w:val="single" w:sz="4" w:space="0" w:color="008080"/>
              <w:right w:val="single" w:sz="4" w:space="0" w:color="008080"/>
            </w:tcBorders>
            <w:shd w:val="clear" w:color="auto" w:fill="auto"/>
          </w:tcPr>
          <w:p w14:paraId="2CBE28A3" w14:textId="77777777" w:rsidR="000C6CB0" w:rsidRDefault="000C6CB0">
            <w:pPr>
              <w:snapToGrid w:val="0"/>
              <w:ind w:left="72"/>
            </w:pPr>
          </w:p>
        </w:tc>
      </w:tr>
      <w:tr w:rsidR="000C6CB0" w14:paraId="64DDF7AB" w14:textId="77777777" w:rsidTr="00B23A17">
        <w:trPr>
          <w:trHeight w:val="23"/>
        </w:trPr>
        <w:tc>
          <w:tcPr>
            <w:tcW w:w="4950" w:type="dxa"/>
            <w:tcBorders>
              <w:top w:val="single" w:sz="4" w:space="0" w:color="008080"/>
              <w:left w:val="single" w:sz="4" w:space="0" w:color="008080"/>
              <w:bottom w:val="single" w:sz="4" w:space="0" w:color="008080"/>
            </w:tcBorders>
            <w:shd w:val="clear" w:color="auto" w:fill="auto"/>
          </w:tcPr>
          <w:p w14:paraId="58F9CBCC" w14:textId="77777777" w:rsidR="000C6CB0" w:rsidRPr="000C6CB0" w:rsidRDefault="000C6CB0" w:rsidP="000C6CB0">
            <w:pPr>
              <w:suppressAutoHyphens w:val="0"/>
              <w:autoSpaceDE w:val="0"/>
              <w:autoSpaceDN w:val="0"/>
              <w:adjustRightInd w:val="0"/>
              <w:ind w:left="398" w:hanging="398"/>
              <w:rPr>
                <w:rFonts w:asciiTheme="minorHAnsi" w:hAnsiTheme="minorHAnsi"/>
                <w:sz w:val="22"/>
                <w:lang w:eastAsia="en-US"/>
              </w:rPr>
            </w:pPr>
            <w:r w:rsidRPr="000C6CB0">
              <w:rPr>
                <w:rFonts w:asciiTheme="minorHAnsi" w:hAnsiTheme="minorHAnsi"/>
                <w:sz w:val="22"/>
                <w:lang w:eastAsia="en-US"/>
              </w:rPr>
              <w:t>5.4 To help nurses and other health-care providers build competence in preventing, identifying, and responding to abuse and neglect of older adults, education programs are designed to:</w:t>
            </w:r>
          </w:p>
          <w:p w14:paraId="020C33CB" w14:textId="77777777" w:rsidR="000C6CB0" w:rsidRPr="000C6CB0" w:rsidRDefault="000C6CB0" w:rsidP="000C6CB0">
            <w:pPr>
              <w:numPr>
                <w:ilvl w:val="0"/>
                <w:numId w:val="8"/>
              </w:numPr>
              <w:suppressAutoHyphens w:val="0"/>
              <w:autoSpaceDE w:val="0"/>
              <w:autoSpaceDN w:val="0"/>
              <w:adjustRightInd w:val="0"/>
              <w:rPr>
                <w:rFonts w:asciiTheme="minorHAnsi" w:hAnsiTheme="minorHAnsi"/>
                <w:sz w:val="22"/>
                <w:lang w:eastAsia="en-US"/>
              </w:rPr>
            </w:pPr>
            <w:r w:rsidRPr="000C6CB0">
              <w:rPr>
                <w:rFonts w:asciiTheme="minorHAnsi" w:hAnsiTheme="minorHAnsi"/>
                <w:sz w:val="22"/>
                <w:lang w:eastAsia="en-US"/>
              </w:rPr>
              <w:t>address attitudes, knowledge and skills;</w:t>
            </w:r>
          </w:p>
          <w:p w14:paraId="292BAEB1" w14:textId="77777777" w:rsidR="000C6CB0" w:rsidRPr="000C6CB0" w:rsidRDefault="000C6CB0" w:rsidP="000C6CB0">
            <w:pPr>
              <w:numPr>
                <w:ilvl w:val="0"/>
                <w:numId w:val="8"/>
              </w:numPr>
              <w:suppressAutoHyphens w:val="0"/>
              <w:autoSpaceDE w:val="0"/>
              <w:autoSpaceDN w:val="0"/>
              <w:adjustRightInd w:val="0"/>
              <w:rPr>
                <w:rFonts w:asciiTheme="minorHAnsi" w:hAnsiTheme="minorHAnsi"/>
                <w:sz w:val="22"/>
                <w:lang w:eastAsia="en-US"/>
              </w:rPr>
            </w:pPr>
            <w:r w:rsidRPr="000C6CB0">
              <w:rPr>
                <w:rFonts w:asciiTheme="minorHAnsi" w:hAnsiTheme="minorHAnsi"/>
                <w:sz w:val="22"/>
                <w:lang w:eastAsia="en-US"/>
              </w:rPr>
              <w:t>include multimodal and interactive/participatory strategies; and</w:t>
            </w:r>
          </w:p>
          <w:p w14:paraId="0BD97BC5" w14:textId="77777777" w:rsidR="000C6CB0" w:rsidRPr="000C6CB0" w:rsidRDefault="000C6CB0" w:rsidP="000C6CB0">
            <w:pPr>
              <w:numPr>
                <w:ilvl w:val="0"/>
                <w:numId w:val="8"/>
              </w:numPr>
              <w:suppressAutoHyphens w:val="0"/>
              <w:autoSpaceDE w:val="0"/>
              <w:autoSpaceDN w:val="0"/>
              <w:adjustRightInd w:val="0"/>
              <w:rPr>
                <w:rFonts w:asciiTheme="minorHAnsi" w:hAnsiTheme="minorHAnsi"/>
                <w:sz w:val="22"/>
                <w:lang w:eastAsia="en-US"/>
              </w:rPr>
            </w:pPr>
            <w:r w:rsidRPr="000C6CB0">
              <w:rPr>
                <w:rFonts w:asciiTheme="minorHAnsi" w:hAnsiTheme="minorHAnsi"/>
                <w:sz w:val="22"/>
                <w:lang w:eastAsia="en-US"/>
              </w:rPr>
              <w:t>promote an interprofessional approach.</w:t>
            </w:r>
          </w:p>
          <w:p w14:paraId="316DF947" w14:textId="77777777" w:rsidR="000C6CB0" w:rsidRPr="002246CB" w:rsidRDefault="000C6CB0" w:rsidP="000C6CB0">
            <w:pPr>
              <w:suppressAutoHyphens w:val="0"/>
              <w:autoSpaceDE w:val="0"/>
              <w:autoSpaceDN w:val="0"/>
              <w:adjustRightInd w:val="0"/>
              <w:ind w:left="398" w:hanging="398"/>
              <w:rPr>
                <w:rFonts w:asciiTheme="minorHAnsi" w:hAnsiTheme="minorHAnsi"/>
                <w:sz w:val="22"/>
                <w:lang w:eastAsia="en-US"/>
              </w:rPr>
            </w:pPr>
            <w:r>
              <w:rPr>
                <w:rFonts w:ascii="Calibri" w:hAnsi="Calibri" w:cs="Calibri"/>
                <w:color w:val="1F497D"/>
                <w:sz w:val="20"/>
              </w:rPr>
              <w:t>(Level of Evidence = IV- V)</w:t>
            </w:r>
          </w:p>
        </w:tc>
        <w:tc>
          <w:tcPr>
            <w:tcW w:w="504" w:type="dxa"/>
            <w:tcBorders>
              <w:top w:val="single" w:sz="4" w:space="0" w:color="008080"/>
              <w:left w:val="single" w:sz="4" w:space="0" w:color="008080"/>
              <w:bottom w:val="single" w:sz="4" w:space="0" w:color="008080"/>
            </w:tcBorders>
            <w:shd w:val="clear" w:color="auto" w:fill="auto"/>
          </w:tcPr>
          <w:p w14:paraId="6300E1EC" w14:textId="77777777" w:rsidR="000C6CB0" w:rsidRDefault="000C6CB0">
            <w:pPr>
              <w:snapToGrid w:val="0"/>
              <w:ind w:left="72"/>
            </w:pPr>
          </w:p>
        </w:tc>
        <w:tc>
          <w:tcPr>
            <w:tcW w:w="504" w:type="dxa"/>
            <w:tcBorders>
              <w:top w:val="single" w:sz="4" w:space="0" w:color="008080"/>
              <w:left w:val="single" w:sz="4" w:space="0" w:color="008080"/>
              <w:bottom w:val="single" w:sz="4" w:space="0" w:color="008080"/>
            </w:tcBorders>
            <w:shd w:val="clear" w:color="auto" w:fill="auto"/>
          </w:tcPr>
          <w:p w14:paraId="33E7FF5D" w14:textId="77777777" w:rsidR="000C6CB0" w:rsidRDefault="000C6CB0">
            <w:pPr>
              <w:snapToGrid w:val="0"/>
              <w:ind w:left="72"/>
            </w:pPr>
          </w:p>
        </w:tc>
        <w:tc>
          <w:tcPr>
            <w:tcW w:w="504" w:type="dxa"/>
            <w:tcBorders>
              <w:top w:val="single" w:sz="4" w:space="0" w:color="008080"/>
              <w:left w:val="single" w:sz="4" w:space="0" w:color="008080"/>
              <w:bottom w:val="single" w:sz="4" w:space="0" w:color="008080"/>
            </w:tcBorders>
            <w:shd w:val="clear" w:color="auto" w:fill="auto"/>
          </w:tcPr>
          <w:p w14:paraId="663C6A73" w14:textId="77777777" w:rsidR="000C6CB0" w:rsidRDefault="000C6CB0">
            <w:pPr>
              <w:snapToGrid w:val="0"/>
              <w:ind w:left="72"/>
            </w:pPr>
          </w:p>
        </w:tc>
        <w:tc>
          <w:tcPr>
            <w:tcW w:w="5068" w:type="dxa"/>
            <w:tcBorders>
              <w:top w:val="single" w:sz="4" w:space="0" w:color="008080"/>
              <w:left w:val="single" w:sz="4" w:space="0" w:color="008080"/>
              <w:bottom w:val="single" w:sz="4" w:space="0" w:color="008080"/>
              <w:right w:val="single" w:sz="4" w:space="0" w:color="008080"/>
            </w:tcBorders>
            <w:shd w:val="clear" w:color="auto" w:fill="auto"/>
          </w:tcPr>
          <w:p w14:paraId="36CCAB8C" w14:textId="77777777" w:rsidR="000C6CB0" w:rsidRDefault="000C6CB0">
            <w:pPr>
              <w:snapToGrid w:val="0"/>
              <w:ind w:left="72"/>
            </w:pPr>
          </w:p>
        </w:tc>
      </w:tr>
      <w:tr w:rsidR="000C6CB0" w14:paraId="0B24F7A0" w14:textId="77777777" w:rsidTr="000C6CB0">
        <w:trPr>
          <w:trHeight w:val="23"/>
        </w:trPr>
        <w:tc>
          <w:tcPr>
            <w:tcW w:w="11530" w:type="dxa"/>
            <w:gridSpan w:val="5"/>
            <w:tcBorders>
              <w:top w:val="single" w:sz="4" w:space="0" w:color="008080"/>
              <w:left w:val="single" w:sz="4" w:space="0" w:color="008080"/>
              <w:bottom w:val="single" w:sz="4" w:space="0" w:color="008080"/>
              <w:right w:val="single" w:sz="4" w:space="0" w:color="008080"/>
            </w:tcBorders>
            <w:shd w:val="clear" w:color="auto" w:fill="DAEEF3" w:themeFill="accent5" w:themeFillTint="33"/>
          </w:tcPr>
          <w:p w14:paraId="327344D9" w14:textId="77777777" w:rsidR="000C6CB0" w:rsidRDefault="000C6CB0">
            <w:pPr>
              <w:snapToGrid w:val="0"/>
              <w:ind w:left="72"/>
            </w:pPr>
            <w:r>
              <w:rPr>
                <w:rFonts w:ascii="Calibri" w:hAnsi="Calibri" w:cs="Calibri"/>
                <w:b/>
                <w:color w:val="1F497D"/>
                <w:sz w:val="22"/>
              </w:rPr>
              <w:t>Policy, Organization and System Recommendation</w:t>
            </w:r>
          </w:p>
        </w:tc>
      </w:tr>
      <w:tr w:rsidR="000C6CB0" w14:paraId="3DA2F046" w14:textId="77777777" w:rsidTr="00B23A17">
        <w:trPr>
          <w:trHeight w:val="23"/>
        </w:trPr>
        <w:tc>
          <w:tcPr>
            <w:tcW w:w="4950" w:type="dxa"/>
            <w:tcBorders>
              <w:top w:val="single" w:sz="4" w:space="0" w:color="008080"/>
              <w:left w:val="single" w:sz="4" w:space="0" w:color="008080"/>
              <w:bottom w:val="single" w:sz="4" w:space="0" w:color="008080"/>
            </w:tcBorders>
            <w:shd w:val="clear" w:color="auto" w:fill="auto"/>
          </w:tcPr>
          <w:p w14:paraId="243C70D8" w14:textId="77777777" w:rsidR="000C6CB0" w:rsidRDefault="000C6CB0" w:rsidP="002246CB">
            <w:pPr>
              <w:suppressAutoHyphens w:val="0"/>
              <w:autoSpaceDE w:val="0"/>
              <w:autoSpaceDN w:val="0"/>
              <w:adjustRightInd w:val="0"/>
              <w:ind w:left="398" w:hanging="398"/>
              <w:rPr>
                <w:rFonts w:ascii="Calibri" w:hAnsi="Calibri" w:cs="Calibri"/>
                <w:sz w:val="22"/>
                <w:szCs w:val="22"/>
              </w:rPr>
            </w:pPr>
            <w:r>
              <w:rPr>
                <w:rFonts w:ascii="Calibri" w:hAnsi="Calibri" w:cs="Calibri"/>
                <w:sz w:val="22"/>
                <w:szCs w:val="22"/>
              </w:rPr>
              <w:t>6.1 Organizations/institutions establish and support collaborative teams to assist with preventing and addressing abuse and neglect of older adults.</w:t>
            </w:r>
          </w:p>
          <w:p w14:paraId="3DC1DF64" w14:textId="77777777" w:rsidR="000C6CB0" w:rsidRPr="002246CB" w:rsidRDefault="000C6CB0" w:rsidP="002246CB">
            <w:pPr>
              <w:suppressAutoHyphens w:val="0"/>
              <w:autoSpaceDE w:val="0"/>
              <w:autoSpaceDN w:val="0"/>
              <w:adjustRightInd w:val="0"/>
              <w:ind w:left="398" w:hanging="398"/>
              <w:rPr>
                <w:rFonts w:asciiTheme="minorHAnsi" w:hAnsiTheme="minorHAnsi"/>
                <w:sz w:val="22"/>
                <w:lang w:eastAsia="en-US"/>
              </w:rPr>
            </w:pPr>
            <w:r>
              <w:rPr>
                <w:rFonts w:ascii="Calibri" w:hAnsi="Calibri" w:cs="Calibri"/>
                <w:color w:val="1F497D"/>
                <w:sz w:val="20"/>
              </w:rPr>
              <w:t>(Level of Evidence = V)</w:t>
            </w:r>
          </w:p>
        </w:tc>
        <w:tc>
          <w:tcPr>
            <w:tcW w:w="504" w:type="dxa"/>
            <w:tcBorders>
              <w:top w:val="single" w:sz="4" w:space="0" w:color="008080"/>
              <w:left w:val="single" w:sz="4" w:space="0" w:color="008080"/>
              <w:bottom w:val="single" w:sz="4" w:space="0" w:color="008080"/>
            </w:tcBorders>
            <w:shd w:val="clear" w:color="auto" w:fill="auto"/>
          </w:tcPr>
          <w:p w14:paraId="51A3DFC3" w14:textId="77777777" w:rsidR="000C6CB0" w:rsidRDefault="000C6CB0">
            <w:pPr>
              <w:snapToGrid w:val="0"/>
              <w:ind w:left="72"/>
            </w:pPr>
          </w:p>
        </w:tc>
        <w:tc>
          <w:tcPr>
            <w:tcW w:w="504" w:type="dxa"/>
            <w:tcBorders>
              <w:top w:val="single" w:sz="4" w:space="0" w:color="008080"/>
              <w:left w:val="single" w:sz="4" w:space="0" w:color="008080"/>
              <w:bottom w:val="single" w:sz="4" w:space="0" w:color="008080"/>
            </w:tcBorders>
            <w:shd w:val="clear" w:color="auto" w:fill="auto"/>
          </w:tcPr>
          <w:p w14:paraId="16CC0CEA" w14:textId="77777777" w:rsidR="000C6CB0" w:rsidRDefault="000C6CB0">
            <w:pPr>
              <w:snapToGrid w:val="0"/>
              <w:ind w:left="72"/>
            </w:pPr>
          </w:p>
        </w:tc>
        <w:tc>
          <w:tcPr>
            <w:tcW w:w="504" w:type="dxa"/>
            <w:tcBorders>
              <w:top w:val="single" w:sz="4" w:space="0" w:color="008080"/>
              <w:left w:val="single" w:sz="4" w:space="0" w:color="008080"/>
              <w:bottom w:val="single" w:sz="4" w:space="0" w:color="008080"/>
            </w:tcBorders>
            <w:shd w:val="clear" w:color="auto" w:fill="auto"/>
          </w:tcPr>
          <w:p w14:paraId="2D183504" w14:textId="77777777" w:rsidR="000C6CB0" w:rsidRDefault="000C6CB0">
            <w:pPr>
              <w:snapToGrid w:val="0"/>
              <w:ind w:left="72"/>
            </w:pPr>
          </w:p>
        </w:tc>
        <w:tc>
          <w:tcPr>
            <w:tcW w:w="5068" w:type="dxa"/>
            <w:tcBorders>
              <w:top w:val="single" w:sz="4" w:space="0" w:color="008080"/>
              <w:left w:val="single" w:sz="4" w:space="0" w:color="008080"/>
              <w:bottom w:val="single" w:sz="4" w:space="0" w:color="008080"/>
              <w:right w:val="single" w:sz="4" w:space="0" w:color="008080"/>
            </w:tcBorders>
            <w:shd w:val="clear" w:color="auto" w:fill="auto"/>
          </w:tcPr>
          <w:p w14:paraId="14B6A349" w14:textId="77777777" w:rsidR="000C6CB0" w:rsidRDefault="000C6CB0">
            <w:pPr>
              <w:snapToGrid w:val="0"/>
              <w:ind w:left="72"/>
            </w:pPr>
          </w:p>
        </w:tc>
      </w:tr>
      <w:tr w:rsidR="000C6CB0" w14:paraId="0829C704" w14:textId="77777777" w:rsidTr="00B23A17">
        <w:trPr>
          <w:trHeight w:val="23"/>
        </w:trPr>
        <w:tc>
          <w:tcPr>
            <w:tcW w:w="4950" w:type="dxa"/>
            <w:tcBorders>
              <w:top w:val="single" w:sz="4" w:space="0" w:color="008080"/>
              <w:left w:val="single" w:sz="4" w:space="0" w:color="008080"/>
              <w:bottom w:val="single" w:sz="4" w:space="0" w:color="008080"/>
            </w:tcBorders>
            <w:shd w:val="clear" w:color="auto" w:fill="auto"/>
          </w:tcPr>
          <w:p w14:paraId="2EE89595" w14:textId="77777777" w:rsidR="000C6CB0" w:rsidRPr="002246CB" w:rsidRDefault="000C6CB0" w:rsidP="002246CB">
            <w:pPr>
              <w:suppressAutoHyphens w:val="0"/>
              <w:autoSpaceDE w:val="0"/>
              <w:autoSpaceDN w:val="0"/>
              <w:adjustRightInd w:val="0"/>
              <w:ind w:left="398" w:hanging="398"/>
              <w:rPr>
                <w:rFonts w:asciiTheme="minorHAnsi" w:hAnsiTheme="minorHAnsi"/>
                <w:sz w:val="22"/>
                <w:lang w:eastAsia="en-US"/>
              </w:rPr>
            </w:pPr>
            <w:r>
              <w:rPr>
                <w:rFonts w:ascii="Calibri" w:hAnsi="Calibri" w:cs="Calibri"/>
                <w:sz w:val="22"/>
                <w:szCs w:val="22"/>
              </w:rPr>
              <w:t xml:space="preserve">6.2 Organizations/institutions establish policies, procedures and supports that enable nurses and other health-care providers to recognize, respond to, and where appropriate, report abuse and neglect of older adults. </w:t>
            </w:r>
            <w:r>
              <w:rPr>
                <w:rFonts w:ascii="Calibri" w:hAnsi="Calibri" w:cs="Calibri"/>
                <w:sz w:val="22"/>
                <w:szCs w:val="22"/>
              </w:rPr>
              <w:br/>
            </w:r>
            <w:r>
              <w:rPr>
                <w:rFonts w:ascii="Calibri" w:hAnsi="Calibri" w:cs="Calibri"/>
                <w:color w:val="1F497D"/>
                <w:sz w:val="20"/>
              </w:rPr>
              <w:t>(Level of Evidence = V)</w:t>
            </w:r>
          </w:p>
        </w:tc>
        <w:tc>
          <w:tcPr>
            <w:tcW w:w="504" w:type="dxa"/>
            <w:tcBorders>
              <w:top w:val="single" w:sz="4" w:space="0" w:color="008080"/>
              <w:left w:val="single" w:sz="4" w:space="0" w:color="008080"/>
              <w:bottom w:val="single" w:sz="4" w:space="0" w:color="008080"/>
            </w:tcBorders>
            <w:shd w:val="clear" w:color="auto" w:fill="auto"/>
          </w:tcPr>
          <w:p w14:paraId="2BBF3B0A" w14:textId="77777777" w:rsidR="000C6CB0" w:rsidRDefault="000C6CB0">
            <w:pPr>
              <w:snapToGrid w:val="0"/>
              <w:ind w:left="72"/>
            </w:pPr>
          </w:p>
        </w:tc>
        <w:tc>
          <w:tcPr>
            <w:tcW w:w="504" w:type="dxa"/>
            <w:tcBorders>
              <w:top w:val="single" w:sz="4" w:space="0" w:color="008080"/>
              <w:left w:val="single" w:sz="4" w:space="0" w:color="008080"/>
              <w:bottom w:val="single" w:sz="4" w:space="0" w:color="008080"/>
            </w:tcBorders>
            <w:shd w:val="clear" w:color="auto" w:fill="auto"/>
          </w:tcPr>
          <w:p w14:paraId="6248B42A" w14:textId="77777777" w:rsidR="000C6CB0" w:rsidRDefault="000C6CB0">
            <w:pPr>
              <w:snapToGrid w:val="0"/>
              <w:ind w:left="72"/>
            </w:pPr>
          </w:p>
        </w:tc>
        <w:tc>
          <w:tcPr>
            <w:tcW w:w="504" w:type="dxa"/>
            <w:tcBorders>
              <w:top w:val="single" w:sz="4" w:space="0" w:color="008080"/>
              <w:left w:val="single" w:sz="4" w:space="0" w:color="008080"/>
              <w:bottom w:val="single" w:sz="4" w:space="0" w:color="008080"/>
            </w:tcBorders>
            <w:shd w:val="clear" w:color="auto" w:fill="auto"/>
          </w:tcPr>
          <w:p w14:paraId="1A349EAE" w14:textId="77777777" w:rsidR="000C6CB0" w:rsidRDefault="000C6CB0">
            <w:pPr>
              <w:snapToGrid w:val="0"/>
              <w:ind w:left="72"/>
            </w:pPr>
          </w:p>
        </w:tc>
        <w:tc>
          <w:tcPr>
            <w:tcW w:w="5068" w:type="dxa"/>
            <w:tcBorders>
              <w:top w:val="single" w:sz="4" w:space="0" w:color="008080"/>
              <w:left w:val="single" w:sz="4" w:space="0" w:color="008080"/>
              <w:bottom w:val="single" w:sz="4" w:space="0" w:color="008080"/>
              <w:right w:val="single" w:sz="4" w:space="0" w:color="008080"/>
            </w:tcBorders>
            <w:shd w:val="clear" w:color="auto" w:fill="auto"/>
          </w:tcPr>
          <w:p w14:paraId="6FB83081" w14:textId="77777777" w:rsidR="000C6CB0" w:rsidRDefault="000C6CB0">
            <w:pPr>
              <w:snapToGrid w:val="0"/>
              <w:ind w:left="72"/>
            </w:pPr>
          </w:p>
        </w:tc>
      </w:tr>
      <w:tr w:rsidR="000C6CB0" w14:paraId="62FE9794" w14:textId="77777777" w:rsidTr="00B23A17">
        <w:trPr>
          <w:trHeight w:val="23"/>
        </w:trPr>
        <w:tc>
          <w:tcPr>
            <w:tcW w:w="4950" w:type="dxa"/>
            <w:tcBorders>
              <w:top w:val="single" w:sz="4" w:space="0" w:color="008080"/>
              <w:left w:val="single" w:sz="4" w:space="0" w:color="008080"/>
              <w:bottom w:val="single" w:sz="4" w:space="0" w:color="008080"/>
            </w:tcBorders>
            <w:shd w:val="clear" w:color="auto" w:fill="auto"/>
          </w:tcPr>
          <w:p w14:paraId="45C4AB8F" w14:textId="77777777" w:rsidR="000C6CB0" w:rsidRPr="000C6CB0" w:rsidRDefault="000C6CB0" w:rsidP="000C6CB0">
            <w:pPr>
              <w:suppressAutoHyphens w:val="0"/>
              <w:autoSpaceDE w:val="0"/>
              <w:autoSpaceDN w:val="0"/>
              <w:adjustRightInd w:val="0"/>
              <w:ind w:left="398" w:hanging="398"/>
              <w:rPr>
                <w:rFonts w:asciiTheme="minorHAnsi" w:hAnsiTheme="minorHAnsi"/>
                <w:sz w:val="22"/>
                <w:lang w:eastAsia="en-US"/>
              </w:rPr>
            </w:pPr>
            <w:r w:rsidRPr="000C6CB0">
              <w:rPr>
                <w:rFonts w:asciiTheme="minorHAnsi" w:hAnsiTheme="minorHAnsi"/>
                <w:sz w:val="22"/>
                <w:lang w:eastAsia="en-US"/>
              </w:rPr>
              <w:t>6.3 Institutions* adopt a combination of approaches to prevent abuse and neglect of older adults, including:</w:t>
            </w:r>
          </w:p>
          <w:p w14:paraId="24F67540" w14:textId="77777777" w:rsidR="000C6CB0" w:rsidRPr="000C6CB0" w:rsidRDefault="000C6CB0" w:rsidP="000C6CB0">
            <w:pPr>
              <w:numPr>
                <w:ilvl w:val="0"/>
                <w:numId w:val="9"/>
              </w:numPr>
              <w:suppressAutoHyphens w:val="0"/>
              <w:autoSpaceDE w:val="0"/>
              <w:autoSpaceDN w:val="0"/>
              <w:adjustRightInd w:val="0"/>
              <w:rPr>
                <w:rFonts w:asciiTheme="minorHAnsi" w:hAnsiTheme="minorHAnsi"/>
                <w:sz w:val="22"/>
                <w:lang w:eastAsia="en-US"/>
              </w:rPr>
            </w:pPr>
            <w:r w:rsidRPr="000C6CB0">
              <w:rPr>
                <w:rFonts w:asciiTheme="minorHAnsi" w:hAnsiTheme="minorHAnsi"/>
                <w:sz w:val="22"/>
                <w:lang w:eastAsia="en-US"/>
              </w:rPr>
              <w:t>screening potential employees, hiring the most qualified employees, and providing proper supervision and monitoring in the workplace;</w:t>
            </w:r>
          </w:p>
          <w:p w14:paraId="1DFCEC19" w14:textId="77777777" w:rsidR="000C6CB0" w:rsidRPr="000C6CB0" w:rsidRDefault="000C6CB0" w:rsidP="000C6CB0">
            <w:pPr>
              <w:numPr>
                <w:ilvl w:val="0"/>
                <w:numId w:val="9"/>
              </w:numPr>
              <w:suppressAutoHyphens w:val="0"/>
              <w:autoSpaceDE w:val="0"/>
              <w:autoSpaceDN w:val="0"/>
              <w:adjustRightInd w:val="0"/>
              <w:rPr>
                <w:rFonts w:asciiTheme="minorHAnsi" w:hAnsiTheme="minorHAnsi"/>
                <w:sz w:val="22"/>
                <w:lang w:eastAsia="en-US"/>
              </w:rPr>
            </w:pPr>
            <w:r w:rsidRPr="000C6CB0">
              <w:rPr>
                <w:rFonts w:asciiTheme="minorHAnsi" w:hAnsiTheme="minorHAnsi"/>
                <w:sz w:val="22"/>
                <w:lang w:eastAsia="en-US"/>
              </w:rPr>
              <w:t>securing appropriate staffing;</w:t>
            </w:r>
          </w:p>
          <w:p w14:paraId="0AFA3860" w14:textId="77777777" w:rsidR="000C6CB0" w:rsidRPr="000C6CB0" w:rsidRDefault="000C6CB0" w:rsidP="000C6CB0">
            <w:pPr>
              <w:numPr>
                <w:ilvl w:val="0"/>
                <w:numId w:val="9"/>
              </w:numPr>
              <w:suppressAutoHyphens w:val="0"/>
              <w:autoSpaceDE w:val="0"/>
              <w:autoSpaceDN w:val="0"/>
              <w:adjustRightInd w:val="0"/>
              <w:rPr>
                <w:rFonts w:asciiTheme="minorHAnsi" w:hAnsiTheme="minorHAnsi"/>
                <w:sz w:val="22"/>
                <w:lang w:eastAsia="en-US"/>
              </w:rPr>
            </w:pPr>
            <w:r w:rsidRPr="000C6CB0">
              <w:rPr>
                <w:rFonts w:asciiTheme="minorHAnsi" w:hAnsiTheme="minorHAnsi"/>
                <w:sz w:val="22"/>
                <w:lang w:eastAsia="en-US"/>
              </w:rPr>
              <w:t>providing mandatory training to all employees;</w:t>
            </w:r>
          </w:p>
          <w:p w14:paraId="3C5184AE" w14:textId="77777777" w:rsidR="000C6CB0" w:rsidRPr="000C6CB0" w:rsidRDefault="000C6CB0" w:rsidP="000C6CB0">
            <w:pPr>
              <w:numPr>
                <w:ilvl w:val="0"/>
                <w:numId w:val="9"/>
              </w:numPr>
              <w:suppressAutoHyphens w:val="0"/>
              <w:autoSpaceDE w:val="0"/>
              <w:autoSpaceDN w:val="0"/>
              <w:adjustRightInd w:val="0"/>
              <w:rPr>
                <w:rFonts w:asciiTheme="minorHAnsi" w:hAnsiTheme="minorHAnsi"/>
                <w:sz w:val="22"/>
                <w:lang w:eastAsia="en-US"/>
              </w:rPr>
            </w:pPr>
            <w:r w:rsidRPr="000C6CB0">
              <w:rPr>
                <w:rFonts w:asciiTheme="minorHAnsi" w:hAnsiTheme="minorHAnsi"/>
                <w:sz w:val="22"/>
                <w:lang w:eastAsia="en-US"/>
              </w:rPr>
              <w:lastRenderedPageBreak/>
              <w:t>supporting the needs of individuals with cognitive impairment, including those with responsive behaviours;</w:t>
            </w:r>
          </w:p>
          <w:p w14:paraId="1E5BDDD5" w14:textId="77777777" w:rsidR="000C6CB0" w:rsidRPr="000C6CB0" w:rsidRDefault="000C6CB0" w:rsidP="000C6CB0">
            <w:pPr>
              <w:numPr>
                <w:ilvl w:val="0"/>
                <w:numId w:val="9"/>
              </w:numPr>
              <w:suppressAutoHyphens w:val="0"/>
              <w:autoSpaceDE w:val="0"/>
              <w:autoSpaceDN w:val="0"/>
              <w:adjustRightInd w:val="0"/>
              <w:rPr>
                <w:rFonts w:asciiTheme="minorHAnsi" w:hAnsiTheme="minorHAnsi"/>
                <w:sz w:val="22"/>
                <w:lang w:eastAsia="en-US"/>
              </w:rPr>
            </w:pPr>
            <w:r w:rsidRPr="000C6CB0">
              <w:rPr>
                <w:rFonts w:asciiTheme="minorHAnsi" w:hAnsiTheme="minorHAnsi"/>
                <w:sz w:val="22"/>
                <w:lang w:eastAsia="en-US"/>
              </w:rPr>
              <w:t>upholding resident rights;</w:t>
            </w:r>
          </w:p>
          <w:p w14:paraId="4559E6F5" w14:textId="77777777" w:rsidR="000C6CB0" w:rsidRPr="000C6CB0" w:rsidRDefault="000C6CB0" w:rsidP="000C6CB0">
            <w:pPr>
              <w:numPr>
                <w:ilvl w:val="0"/>
                <w:numId w:val="9"/>
              </w:numPr>
              <w:suppressAutoHyphens w:val="0"/>
              <w:autoSpaceDE w:val="0"/>
              <w:autoSpaceDN w:val="0"/>
              <w:adjustRightInd w:val="0"/>
              <w:rPr>
                <w:rFonts w:asciiTheme="minorHAnsi" w:hAnsiTheme="minorHAnsi"/>
                <w:sz w:val="22"/>
                <w:lang w:eastAsia="en-US"/>
              </w:rPr>
            </w:pPr>
            <w:r w:rsidRPr="000C6CB0">
              <w:rPr>
                <w:rFonts w:asciiTheme="minorHAnsi" w:hAnsiTheme="minorHAnsi"/>
                <w:sz w:val="22"/>
                <w:lang w:eastAsia="en-US"/>
              </w:rPr>
              <w:t>establishing and maintaining person-centred care and a healthy work environment; and</w:t>
            </w:r>
          </w:p>
          <w:p w14:paraId="24FE0FC9" w14:textId="77777777" w:rsidR="000C6CB0" w:rsidRPr="000C6CB0" w:rsidRDefault="000C6CB0" w:rsidP="000C6CB0">
            <w:pPr>
              <w:numPr>
                <w:ilvl w:val="0"/>
                <w:numId w:val="9"/>
              </w:numPr>
              <w:suppressAutoHyphens w:val="0"/>
              <w:autoSpaceDE w:val="0"/>
              <w:autoSpaceDN w:val="0"/>
              <w:adjustRightInd w:val="0"/>
              <w:rPr>
                <w:rFonts w:asciiTheme="minorHAnsi" w:hAnsiTheme="minorHAnsi"/>
                <w:sz w:val="22"/>
                <w:lang w:eastAsia="en-US"/>
              </w:rPr>
            </w:pPr>
            <w:r w:rsidRPr="000C6CB0">
              <w:rPr>
                <w:rFonts w:asciiTheme="minorHAnsi" w:hAnsiTheme="minorHAnsi"/>
                <w:sz w:val="22"/>
                <w:lang w:eastAsia="en-US"/>
              </w:rPr>
              <w:t>educating older adults and families on abuse and neglect and their rights, and establishing routes for complaints and quality improvement.</w:t>
            </w:r>
          </w:p>
          <w:p w14:paraId="41B05023" w14:textId="77777777" w:rsidR="000C6CB0" w:rsidRPr="000C6CB0" w:rsidRDefault="000C6CB0" w:rsidP="000C6CB0">
            <w:pPr>
              <w:suppressAutoHyphens w:val="0"/>
              <w:autoSpaceDE w:val="0"/>
              <w:autoSpaceDN w:val="0"/>
              <w:adjustRightInd w:val="0"/>
              <w:ind w:left="398" w:hanging="398"/>
              <w:rPr>
                <w:rFonts w:asciiTheme="minorHAnsi" w:hAnsiTheme="minorHAnsi"/>
                <w:sz w:val="22"/>
                <w:lang w:eastAsia="en-US"/>
              </w:rPr>
            </w:pPr>
            <w:r w:rsidRPr="000C6CB0">
              <w:rPr>
                <w:rFonts w:asciiTheme="minorHAnsi" w:hAnsiTheme="minorHAnsi"/>
                <w:sz w:val="22"/>
                <w:lang w:eastAsia="en-US"/>
              </w:rPr>
              <w:t xml:space="preserve">*Note: may apply to other health-care settings. </w:t>
            </w:r>
          </w:p>
          <w:p w14:paraId="23FF1872" w14:textId="77777777" w:rsidR="000C6CB0" w:rsidRPr="002246CB" w:rsidRDefault="000C6CB0" w:rsidP="000C6CB0">
            <w:pPr>
              <w:suppressAutoHyphens w:val="0"/>
              <w:autoSpaceDE w:val="0"/>
              <w:autoSpaceDN w:val="0"/>
              <w:adjustRightInd w:val="0"/>
              <w:ind w:left="398" w:hanging="398"/>
              <w:rPr>
                <w:rFonts w:asciiTheme="minorHAnsi" w:hAnsiTheme="minorHAnsi"/>
                <w:sz w:val="22"/>
                <w:lang w:eastAsia="en-US"/>
              </w:rPr>
            </w:pPr>
            <w:r>
              <w:rPr>
                <w:rFonts w:ascii="Calibri" w:hAnsi="Calibri" w:cs="Calibri"/>
                <w:color w:val="1F497D"/>
                <w:sz w:val="20"/>
              </w:rPr>
              <w:t>(Level of Evidence = V)</w:t>
            </w:r>
          </w:p>
        </w:tc>
        <w:tc>
          <w:tcPr>
            <w:tcW w:w="504" w:type="dxa"/>
            <w:tcBorders>
              <w:top w:val="single" w:sz="4" w:space="0" w:color="008080"/>
              <w:left w:val="single" w:sz="4" w:space="0" w:color="008080"/>
              <w:bottom w:val="single" w:sz="4" w:space="0" w:color="008080"/>
            </w:tcBorders>
            <w:shd w:val="clear" w:color="auto" w:fill="auto"/>
          </w:tcPr>
          <w:p w14:paraId="0C599D11" w14:textId="77777777" w:rsidR="000C6CB0" w:rsidRDefault="000C6CB0">
            <w:pPr>
              <w:snapToGrid w:val="0"/>
              <w:ind w:left="72"/>
            </w:pPr>
          </w:p>
        </w:tc>
        <w:tc>
          <w:tcPr>
            <w:tcW w:w="504" w:type="dxa"/>
            <w:tcBorders>
              <w:top w:val="single" w:sz="4" w:space="0" w:color="008080"/>
              <w:left w:val="single" w:sz="4" w:space="0" w:color="008080"/>
              <w:bottom w:val="single" w:sz="4" w:space="0" w:color="008080"/>
            </w:tcBorders>
            <w:shd w:val="clear" w:color="auto" w:fill="auto"/>
          </w:tcPr>
          <w:p w14:paraId="64EB4BDF" w14:textId="77777777" w:rsidR="000C6CB0" w:rsidRDefault="000C6CB0">
            <w:pPr>
              <w:snapToGrid w:val="0"/>
              <w:ind w:left="72"/>
            </w:pPr>
          </w:p>
        </w:tc>
        <w:tc>
          <w:tcPr>
            <w:tcW w:w="504" w:type="dxa"/>
            <w:tcBorders>
              <w:top w:val="single" w:sz="4" w:space="0" w:color="008080"/>
              <w:left w:val="single" w:sz="4" w:space="0" w:color="008080"/>
              <w:bottom w:val="single" w:sz="4" w:space="0" w:color="008080"/>
            </w:tcBorders>
            <w:shd w:val="clear" w:color="auto" w:fill="auto"/>
          </w:tcPr>
          <w:p w14:paraId="31CA9AC8" w14:textId="77777777" w:rsidR="000C6CB0" w:rsidRDefault="000C6CB0">
            <w:pPr>
              <w:snapToGrid w:val="0"/>
              <w:ind w:left="72"/>
            </w:pPr>
          </w:p>
        </w:tc>
        <w:tc>
          <w:tcPr>
            <w:tcW w:w="5068" w:type="dxa"/>
            <w:tcBorders>
              <w:top w:val="single" w:sz="4" w:space="0" w:color="008080"/>
              <w:left w:val="single" w:sz="4" w:space="0" w:color="008080"/>
              <w:bottom w:val="single" w:sz="4" w:space="0" w:color="008080"/>
              <w:right w:val="single" w:sz="4" w:space="0" w:color="008080"/>
            </w:tcBorders>
            <w:shd w:val="clear" w:color="auto" w:fill="auto"/>
          </w:tcPr>
          <w:p w14:paraId="44A0AC4B" w14:textId="77777777" w:rsidR="000C6CB0" w:rsidRDefault="000C6CB0">
            <w:pPr>
              <w:snapToGrid w:val="0"/>
              <w:ind w:left="72"/>
            </w:pPr>
          </w:p>
        </w:tc>
      </w:tr>
      <w:tr w:rsidR="000C6CB0" w14:paraId="30E84F6A" w14:textId="77777777" w:rsidTr="00B23A17">
        <w:trPr>
          <w:trHeight w:val="23"/>
        </w:trPr>
        <w:tc>
          <w:tcPr>
            <w:tcW w:w="4950" w:type="dxa"/>
            <w:tcBorders>
              <w:top w:val="single" w:sz="4" w:space="0" w:color="008080"/>
              <w:left w:val="single" w:sz="4" w:space="0" w:color="008080"/>
              <w:bottom w:val="single" w:sz="4" w:space="0" w:color="008080"/>
            </w:tcBorders>
            <w:shd w:val="clear" w:color="auto" w:fill="auto"/>
          </w:tcPr>
          <w:p w14:paraId="5C09FCE7" w14:textId="77777777" w:rsidR="000C6CB0" w:rsidRDefault="000C6CB0" w:rsidP="002246CB">
            <w:pPr>
              <w:suppressAutoHyphens w:val="0"/>
              <w:autoSpaceDE w:val="0"/>
              <w:autoSpaceDN w:val="0"/>
              <w:adjustRightInd w:val="0"/>
              <w:ind w:left="398" w:hanging="398"/>
              <w:rPr>
                <w:rFonts w:ascii="Calibri" w:hAnsi="Calibri" w:cs="Calibri"/>
                <w:sz w:val="22"/>
                <w:szCs w:val="22"/>
              </w:rPr>
            </w:pPr>
            <w:r>
              <w:rPr>
                <w:rFonts w:ascii="Calibri" w:hAnsi="Calibri" w:cs="Calibri"/>
                <w:sz w:val="22"/>
                <w:szCs w:val="22"/>
              </w:rPr>
              <w:t xml:space="preserve">6.4 Organizations/institutions with prevention and health promotion mandates (such as community and public health organizations) lead or participate in initiatives to prevent abuse and neglect of older adults. </w:t>
            </w:r>
          </w:p>
          <w:p w14:paraId="06381897" w14:textId="77777777" w:rsidR="000C6CB0" w:rsidRPr="002246CB" w:rsidRDefault="000C6CB0" w:rsidP="002246CB">
            <w:pPr>
              <w:suppressAutoHyphens w:val="0"/>
              <w:autoSpaceDE w:val="0"/>
              <w:autoSpaceDN w:val="0"/>
              <w:adjustRightInd w:val="0"/>
              <w:ind w:left="398" w:hanging="398"/>
              <w:rPr>
                <w:rFonts w:asciiTheme="minorHAnsi" w:hAnsiTheme="minorHAnsi"/>
                <w:sz w:val="22"/>
                <w:lang w:eastAsia="en-US"/>
              </w:rPr>
            </w:pPr>
            <w:r>
              <w:rPr>
                <w:rFonts w:ascii="Calibri" w:hAnsi="Calibri" w:cs="Calibri"/>
                <w:color w:val="1F497D"/>
                <w:sz w:val="20"/>
              </w:rPr>
              <w:t>(Level of Evidence = V)</w:t>
            </w:r>
          </w:p>
        </w:tc>
        <w:tc>
          <w:tcPr>
            <w:tcW w:w="504" w:type="dxa"/>
            <w:tcBorders>
              <w:top w:val="single" w:sz="4" w:space="0" w:color="008080"/>
              <w:left w:val="single" w:sz="4" w:space="0" w:color="008080"/>
              <w:bottom w:val="single" w:sz="4" w:space="0" w:color="008080"/>
            </w:tcBorders>
            <w:shd w:val="clear" w:color="auto" w:fill="auto"/>
          </w:tcPr>
          <w:p w14:paraId="31141732" w14:textId="77777777" w:rsidR="000C6CB0" w:rsidRDefault="000C6CB0">
            <w:pPr>
              <w:snapToGrid w:val="0"/>
              <w:ind w:left="72"/>
            </w:pPr>
          </w:p>
        </w:tc>
        <w:tc>
          <w:tcPr>
            <w:tcW w:w="504" w:type="dxa"/>
            <w:tcBorders>
              <w:top w:val="single" w:sz="4" w:space="0" w:color="008080"/>
              <w:left w:val="single" w:sz="4" w:space="0" w:color="008080"/>
              <w:bottom w:val="single" w:sz="4" w:space="0" w:color="008080"/>
            </w:tcBorders>
            <w:shd w:val="clear" w:color="auto" w:fill="auto"/>
          </w:tcPr>
          <w:p w14:paraId="6ACAB7CC" w14:textId="77777777" w:rsidR="000C6CB0" w:rsidRDefault="000C6CB0">
            <w:pPr>
              <w:snapToGrid w:val="0"/>
              <w:ind w:left="72"/>
            </w:pPr>
          </w:p>
        </w:tc>
        <w:tc>
          <w:tcPr>
            <w:tcW w:w="504" w:type="dxa"/>
            <w:tcBorders>
              <w:top w:val="single" w:sz="4" w:space="0" w:color="008080"/>
              <w:left w:val="single" w:sz="4" w:space="0" w:color="008080"/>
              <w:bottom w:val="single" w:sz="4" w:space="0" w:color="008080"/>
            </w:tcBorders>
            <w:shd w:val="clear" w:color="auto" w:fill="auto"/>
          </w:tcPr>
          <w:p w14:paraId="7DF9F6C1" w14:textId="77777777" w:rsidR="000C6CB0" w:rsidRDefault="000C6CB0">
            <w:pPr>
              <w:snapToGrid w:val="0"/>
              <w:ind w:left="72"/>
            </w:pPr>
          </w:p>
        </w:tc>
        <w:tc>
          <w:tcPr>
            <w:tcW w:w="5068" w:type="dxa"/>
            <w:tcBorders>
              <w:top w:val="single" w:sz="4" w:space="0" w:color="008080"/>
              <w:left w:val="single" w:sz="4" w:space="0" w:color="008080"/>
              <w:bottom w:val="single" w:sz="4" w:space="0" w:color="008080"/>
              <w:right w:val="single" w:sz="4" w:space="0" w:color="008080"/>
            </w:tcBorders>
            <w:shd w:val="clear" w:color="auto" w:fill="auto"/>
          </w:tcPr>
          <w:p w14:paraId="797C4ECF" w14:textId="77777777" w:rsidR="000C6CB0" w:rsidRDefault="000C6CB0">
            <w:pPr>
              <w:snapToGrid w:val="0"/>
              <w:ind w:left="72"/>
            </w:pPr>
          </w:p>
        </w:tc>
      </w:tr>
      <w:tr w:rsidR="000C6CB0" w14:paraId="54FD2250" w14:textId="77777777" w:rsidTr="00B23A17">
        <w:trPr>
          <w:trHeight w:val="23"/>
        </w:trPr>
        <w:tc>
          <w:tcPr>
            <w:tcW w:w="4950" w:type="dxa"/>
            <w:tcBorders>
              <w:top w:val="single" w:sz="4" w:space="0" w:color="008080"/>
              <w:left w:val="single" w:sz="4" w:space="0" w:color="008080"/>
              <w:bottom w:val="single" w:sz="4" w:space="0" w:color="008080"/>
            </w:tcBorders>
            <w:shd w:val="clear" w:color="auto" w:fill="auto"/>
          </w:tcPr>
          <w:p w14:paraId="5B3B64DB" w14:textId="77777777" w:rsidR="000C6CB0" w:rsidRDefault="000C6CB0" w:rsidP="002246CB">
            <w:pPr>
              <w:suppressAutoHyphens w:val="0"/>
              <w:autoSpaceDE w:val="0"/>
              <w:autoSpaceDN w:val="0"/>
              <w:adjustRightInd w:val="0"/>
              <w:ind w:left="398" w:hanging="398"/>
              <w:rPr>
                <w:rFonts w:ascii="Calibri" w:hAnsi="Calibri" w:cs="Calibri"/>
                <w:sz w:val="22"/>
                <w:szCs w:val="22"/>
              </w:rPr>
            </w:pPr>
            <w:r>
              <w:rPr>
                <w:rFonts w:ascii="Calibri" w:hAnsi="Calibri" w:cs="Calibri"/>
                <w:sz w:val="22"/>
                <w:szCs w:val="22"/>
              </w:rPr>
              <w:t>6.5 Organizations/institutions identify and eliminate barriers that older adults and families may experience when accessing information and services related to abuse and neglect</w:t>
            </w:r>
            <w:r>
              <w:rPr>
                <w:rFonts w:ascii="Calibri" w:hAnsi="Calibri" w:cs="Calibri"/>
                <w:i/>
                <w:sz w:val="22"/>
                <w:szCs w:val="22"/>
              </w:rPr>
              <w:t>.</w:t>
            </w:r>
            <w:r>
              <w:rPr>
                <w:rFonts w:ascii="Calibri" w:hAnsi="Calibri" w:cs="Calibri"/>
                <w:sz w:val="22"/>
                <w:szCs w:val="22"/>
              </w:rPr>
              <w:t xml:space="preserve"> </w:t>
            </w:r>
          </w:p>
          <w:p w14:paraId="10990D1D" w14:textId="77777777" w:rsidR="000C6CB0" w:rsidRPr="002246CB" w:rsidRDefault="000C6CB0" w:rsidP="002246CB">
            <w:pPr>
              <w:suppressAutoHyphens w:val="0"/>
              <w:autoSpaceDE w:val="0"/>
              <w:autoSpaceDN w:val="0"/>
              <w:adjustRightInd w:val="0"/>
              <w:ind w:left="398" w:hanging="398"/>
              <w:rPr>
                <w:rFonts w:asciiTheme="minorHAnsi" w:hAnsiTheme="minorHAnsi"/>
                <w:sz w:val="22"/>
                <w:lang w:eastAsia="en-US"/>
              </w:rPr>
            </w:pPr>
            <w:r>
              <w:rPr>
                <w:rFonts w:ascii="Calibri" w:hAnsi="Calibri" w:cs="Calibri"/>
                <w:color w:val="1F497D"/>
                <w:sz w:val="20"/>
              </w:rPr>
              <w:t>(Level of Evidence = IV)</w:t>
            </w:r>
          </w:p>
        </w:tc>
        <w:tc>
          <w:tcPr>
            <w:tcW w:w="504" w:type="dxa"/>
            <w:tcBorders>
              <w:top w:val="single" w:sz="4" w:space="0" w:color="008080"/>
              <w:left w:val="single" w:sz="4" w:space="0" w:color="008080"/>
              <w:bottom w:val="single" w:sz="4" w:space="0" w:color="008080"/>
            </w:tcBorders>
            <w:shd w:val="clear" w:color="auto" w:fill="auto"/>
          </w:tcPr>
          <w:p w14:paraId="5A98C60F" w14:textId="77777777" w:rsidR="000C6CB0" w:rsidRDefault="000C6CB0">
            <w:pPr>
              <w:snapToGrid w:val="0"/>
              <w:ind w:left="72"/>
            </w:pPr>
          </w:p>
        </w:tc>
        <w:tc>
          <w:tcPr>
            <w:tcW w:w="504" w:type="dxa"/>
            <w:tcBorders>
              <w:top w:val="single" w:sz="4" w:space="0" w:color="008080"/>
              <w:left w:val="single" w:sz="4" w:space="0" w:color="008080"/>
              <w:bottom w:val="single" w:sz="4" w:space="0" w:color="008080"/>
            </w:tcBorders>
            <w:shd w:val="clear" w:color="auto" w:fill="auto"/>
          </w:tcPr>
          <w:p w14:paraId="31F313F4" w14:textId="77777777" w:rsidR="000C6CB0" w:rsidRDefault="000C6CB0">
            <w:pPr>
              <w:snapToGrid w:val="0"/>
              <w:ind w:left="72"/>
            </w:pPr>
          </w:p>
        </w:tc>
        <w:tc>
          <w:tcPr>
            <w:tcW w:w="504" w:type="dxa"/>
            <w:tcBorders>
              <w:top w:val="single" w:sz="4" w:space="0" w:color="008080"/>
              <w:left w:val="single" w:sz="4" w:space="0" w:color="008080"/>
              <w:bottom w:val="single" w:sz="4" w:space="0" w:color="008080"/>
            </w:tcBorders>
            <w:shd w:val="clear" w:color="auto" w:fill="auto"/>
          </w:tcPr>
          <w:p w14:paraId="55513DB3" w14:textId="77777777" w:rsidR="000C6CB0" w:rsidRDefault="000C6CB0">
            <w:pPr>
              <w:snapToGrid w:val="0"/>
              <w:ind w:left="72"/>
            </w:pPr>
          </w:p>
        </w:tc>
        <w:tc>
          <w:tcPr>
            <w:tcW w:w="5068" w:type="dxa"/>
            <w:tcBorders>
              <w:top w:val="single" w:sz="4" w:space="0" w:color="008080"/>
              <w:left w:val="single" w:sz="4" w:space="0" w:color="008080"/>
              <w:bottom w:val="single" w:sz="4" w:space="0" w:color="008080"/>
              <w:right w:val="single" w:sz="4" w:space="0" w:color="008080"/>
            </w:tcBorders>
            <w:shd w:val="clear" w:color="auto" w:fill="auto"/>
          </w:tcPr>
          <w:p w14:paraId="28B8CF80" w14:textId="77777777" w:rsidR="000C6CB0" w:rsidRDefault="000C6CB0">
            <w:pPr>
              <w:snapToGrid w:val="0"/>
              <w:ind w:left="72"/>
            </w:pPr>
          </w:p>
        </w:tc>
      </w:tr>
      <w:tr w:rsidR="000C6CB0" w14:paraId="2412484E" w14:textId="77777777" w:rsidTr="00B23A17">
        <w:trPr>
          <w:trHeight w:val="23"/>
        </w:trPr>
        <w:tc>
          <w:tcPr>
            <w:tcW w:w="4950" w:type="dxa"/>
            <w:tcBorders>
              <w:top w:val="single" w:sz="4" w:space="0" w:color="008080"/>
              <w:left w:val="single" w:sz="4" w:space="0" w:color="008080"/>
              <w:bottom w:val="single" w:sz="4" w:space="0" w:color="008080"/>
            </w:tcBorders>
            <w:shd w:val="clear" w:color="auto" w:fill="auto"/>
          </w:tcPr>
          <w:p w14:paraId="0E1A357A" w14:textId="77777777" w:rsidR="000C6CB0" w:rsidRDefault="000C6CB0" w:rsidP="002246CB">
            <w:pPr>
              <w:suppressAutoHyphens w:val="0"/>
              <w:autoSpaceDE w:val="0"/>
              <w:autoSpaceDN w:val="0"/>
              <w:adjustRightInd w:val="0"/>
              <w:ind w:left="398" w:hanging="398"/>
              <w:rPr>
                <w:rFonts w:ascii="Calibri" w:hAnsi="Calibri" w:cs="Calibri"/>
                <w:sz w:val="22"/>
                <w:szCs w:val="22"/>
              </w:rPr>
            </w:pPr>
            <w:r>
              <w:rPr>
                <w:rFonts w:ascii="Calibri" w:hAnsi="Calibri" w:cs="Calibri"/>
                <w:sz w:val="22"/>
                <w:szCs w:val="22"/>
              </w:rPr>
              <w:t>6.6 Provincial and territorial nursing regulatory bodies provide accurate information on jurisdictional laws and obligations relevant to abuse and neglect of older adults across the continuum of care</w:t>
            </w:r>
            <w:r>
              <w:rPr>
                <w:rFonts w:ascii="Calibri" w:hAnsi="Calibri" w:cs="Calibri"/>
                <w:i/>
                <w:sz w:val="22"/>
                <w:szCs w:val="22"/>
              </w:rPr>
              <w:t>.</w:t>
            </w:r>
            <w:r>
              <w:rPr>
                <w:rFonts w:ascii="Calibri" w:hAnsi="Calibri" w:cs="Calibri"/>
                <w:sz w:val="22"/>
                <w:szCs w:val="22"/>
              </w:rPr>
              <w:t xml:space="preserve"> </w:t>
            </w:r>
          </w:p>
          <w:p w14:paraId="1E8237B4" w14:textId="77777777" w:rsidR="000C6CB0" w:rsidRPr="002246CB" w:rsidRDefault="000C6CB0" w:rsidP="002246CB">
            <w:pPr>
              <w:suppressAutoHyphens w:val="0"/>
              <w:autoSpaceDE w:val="0"/>
              <w:autoSpaceDN w:val="0"/>
              <w:adjustRightInd w:val="0"/>
              <w:ind w:left="398" w:hanging="398"/>
              <w:rPr>
                <w:rFonts w:asciiTheme="minorHAnsi" w:hAnsiTheme="minorHAnsi"/>
                <w:sz w:val="22"/>
                <w:lang w:eastAsia="en-US"/>
              </w:rPr>
            </w:pPr>
            <w:r>
              <w:rPr>
                <w:rFonts w:ascii="Calibri" w:hAnsi="Calibri" w:cs="Calibri"/>
                <w:color w:val="1F497D"/>
                <w:sz w:val="20"/>
              </w:rPr>
              <w:t>(Level of Evidence = V)</w:t>
            </w:r>
          </w:p>
        </w:tc>
        <w:tc>
          <w:tcPr>
            <w:tcW w:w="504" w:type="dxa"/>
            <w:tcBorders>
              <w:top w:val="single" w:sz="4" w:space="0" w:color="008080"/>
              <w:left w:val="single" w:sz="4" w:space="0" w:color="008080"/>
              <w:bottom w:val="single" w:sz="4" w:space="0" w:color="008080"/>
            </w:tcBorders>
            <w:shd w:val="clear" w:color="auto" w:fill="auto"/>
          </w:tcPr>
          <w:p w14:paraId="049FB894" w14:textId="77777777" w:rsidR="000C6CB0" w:rsidRDefault="000C6CB0">
            <w:pPr>
              <w:snapToGrid w:val="0"/>
              <w:ind w:left="72"/>
            </w:pPr>
          </w:p>
        </w:tc>
        <w:tc>
          <w:tcPr>
            <w:tcW w:w="504" w:type="dxa"/>
            <w:tcBorders>
              <w:top w:val="single" w:sz="4" w:space="0" w:color="008080"/>
              <w:left w:val="single" w:sz="4" w:space="0" w:color="008080"/>
              <w:bottom w:val="single" w:sz="4" w:space="0" w:color="008080"/>
            </w:tcBorders>
            <w:shd w:val="clear" w:color="auto" w:fill="auto"/>
          </w:tcPr>
          <w:p w14:paraId="7E78C47A" w14:textId="77777777" w:rsidR="000C6CB0" w:rsidRDefault="000C6CB0">
            <w:pPr>
              <w:snapToGrid w:val="0"/>
              <w:ind w:left="72"/>
            </w:pPr>
          </w:p>
        </w:tc>
        <w:tc>
          <w:tcPr>
            <w:tcW w:w="504" w:type="dxa"/>
            <w:tcBorders>
              <w:top w:val="single" w:sz="4" w:space="0" w:color="008080"/>
              <w:left w:val="single" w:sz="4" w:space="0" w:color="008080"/>
              <w:bottom w:val="single" w:sz="4" w:space="0" w:color="008080"/>
            </w:tcBorders>
            <w:shd w:val="clear" w:color="auto" w:fill="auto"/>
          </w:tcPr>
          <w:p w14:paraId="7A167DCB" w14:textId="77777777" w:rsidR="000C6CB0" w:rsidRDefault="000C6CB0">
            <w:pPr>
              <w:snapToGrid w:val="0"/>
              <w:ind w:left="72"/>
            </w:pPr>
          </w:p>
        </w:tc>
        <w:tc>
          <w:tcPr>
            <w:tcW w:w="5068" w:type="dxa"/>
            <w:tcBorders>
              <w:top w:val="single" w:sz="4" w:space="0" w:color="008080"/>
              <w:left w:val="single" w:sz="4" w:space="0" w:color="008080"/>
              <w:bottom w:val="single" w:sz="4" w:space="0" w:color="008080"/>
              <w:right w:val="single" w:sz="4" w:space="0" w:color="008080"/>
            </w:tcBorders>
            <w:shd w:val="clear" w:color="auto" w:fill="auto"/>
          </w:tcPr>
          <w:p w14:paraId="4BE4D027" w14:textId="77777777" w:rsidR="000C6CB0" w:rsidRDefault="000C6CB0">
            <w:pPr>
              <w:snapToGrid w:val="0"/>
              <w:ind w:left="72"/>
            </w:pPr>
          </w:p>
        </w:tc>
      </w:tr>
      <w:tr w:rsidR="000C6CB0" w14:paraId="6C93CA7A" w14:textId="77777777" w:rsidTr="00B23A17">
        <w:trPr>
          <w:trHeight w:val="23"/>
        </w:trPr>
        <w:tc>
          <w:tcPr>
            <w:tcW w:w="4950" w:type="dxa"/>
            <w:tcBorders>
              <w:top w:val="single" w:sz="4" w:space="0" w:color="008080"/>
              <w:left w:val="single" w:sz="4" w:space="0" w:color="008080"/>
              <w:bottom w:val="single" w:sz="4" w:space="0" w:color="008080"/>
            </w:tcBorders>
            <w:shd w:val="clear" w:color="auto" w:fill="auto"/>
          </w:tcPr>
          <w:p w14:paraId="6C6C8D88" w14:textId="77777777" w:rsidR="000C6CB0" w:rsidRDefault="000C6CB0" w:rsidP="002246CB">
            <w:pPr>
              <w:suppressAutoHyphens w:val="0"/>
              <w:autoSpaceDE w:val="0"/>
              <w:autoSpaceDN w:val="0"/>
              <w:adjustRightInd w:val="0"/>
              <w:ind w:left="398" w:hanging="398"/>
              <w:rPr>
                <w:rFonts w:ascii="Calibri" w:hAnsi="Calibri" w:cs="Calibri"/>
                <w:sz w:val="22"/>
                <w:szCs w:val="22"/>
              </w:rPr>
            </w:pPr>
            <w:r>
              <w:rPr>
                <w:rFonts w:ascii="Calibri" w:hAnsi="Calibri" w:cs="Calibri"/>
                <w:sz w:val="22"/>
                <w:szCs w:val="22"/>
              </w:rPr>
              <w:t>6.7 Governments dedicate resources to effectively prevent and address abuse and neglect of older adults</w:t>
            </w:r>
            <w:r>
              <w:rPr>
                <w:rFonts w:ascii="Calibri" w:hAnsi="Calibri" w:cs="Calibri"/>
                <w:i/>
                <w:sz w:val="22"/>
                <w:szCs w:val="22"/>
              </w:rPr>
              <w:t>.</w:t>
            </w:r>
            <w:r>
              <w:rPr>
                <w:rFonts w:ascii="Calibri" w:hAnsi="Calibri" w:cs="Calibri"/>
                <w:sz w:val="22"/>
                <w:szCs w:val="22"/>
              </w:rPr>
              <w:t xml:space="preserve"> </w:t>
            </w:r>
          </w:p>
          <w:p w14:paraId="1B7E9943" w14:textId="77777777" w:rsidR="000C6CB0" w:rsidRPr="002246CB" w:rsidRDefault="000C6CB0" w:rsidP="002246CB">
            <w:pPr>
              <w:suppressAutoHyphens w:val="0"/>
              <w:autoSpaceDE w:val="0"/>
              <w:autoSpaceDN w:val="0"/>
              <w:adjustRightInd w:val="0"/>
              <w:ind w:left="398" w:hanging="398"/>
              <w:rPr>
                <w:rFonts w:asciiTheme="minorHAnsi" w:hAnsiTheme="minorHAnsi"/>
                <w:sz w:val="22"/>
                <w:lang w:eastAsia="en-US"/>
              </w:rPr>
            </w:pPr>
            <w:r>
              <w:rPr>
                <w:rFonts w:ascii="Calibri" w:hAnsi="Calibri" w:cs="Calibri"/>
                <w:color w:val="1F497D"/>
                <w:sz w:val="20"/>
              </w:rPr>
              <w:t>(Level of Evidence = V)</w:t>
            </w:r>
          </w:p>
        </w:tc>
        <w:tc>
          <w:tcPr>
            <w:tcW w:w="504" w:type="dxa"/>
            <w:tcBorders>
              <w:top w:val="single" w:sz="4" w:space="0" w:color="008080"/>
              <w:left w:val="single" w:sz="4" w:space="0" w:color="008080"/>
              <w:bottom w:val="single" w:sz="4" w:space="0" w:color="008080"/>
            </w:tcBorders>
            <w:shd w:val="clear" w:color="auto" w:fill="auto"/>
          </w:tcPr>
          <w:p w14:paraId="62CA66BF" w14:textId="77777777" w:rsidR="000C6CB0" w:rsidRDefault="000C6CB0">
            <w:pPr>
              <w:snapToGrid w:val="0"/>
              <w:ind w:left="72"/>
            </w:pPr>
          </w:p>
        </w:tc>
        <w:tc>
          <w:tcPr>
            <w:tcW w:w="504" w:type="dxa"/>
            <w:tcBorders>
              <w:top w:val="single" w:sz="4" w:space="0" w:color="008080"/>
              <w:left w:val="single" w:sz="4" w:space="0" w:color="008080"/>
              <w:bottom w:val="single" w:sz="4" w:space="0" w:color="008080"/>
            </w:tcBorders>
            <w:shd w:val="clear" w:color="auto" w:fill="auto"/>
          </w:tcPr>
          <w:p w14:paraId="09D48B33" w14:textId="77777777" w:rsidR="000C6CB0" w:rsidRDefault="000C6CB0">
            <w:pPr>
              <w:snapToGrid w:val="0"/>
              <w:ind w:left="72"/>
            </w:pPr>
          </w:p>
        </w:tc>
        <w:tc>
          <w:tcPr>
            <w:tcW w:w="504" w:type="dxa"/>
            <w:tcBorders>
              <w:top w:val="single" w:sz="4" w:space="0" w:color="008080"/>
              <w:left w:val="single" w:sz="4" w:space="0" w:color="008080"/>
              <w:bottom w:val="single" w:sz="4" w:space="0" w:color="008080"/>
            </w:tcBorders>
            <w:shd w:val="clear" w:color="auto" w:fill="auto"/>
          </w:tcPr>
          <w:p w14:paraId="39ECE6E3" w14:textId="77777777" w:rsidR="000C6CB0" w:rsidRDefault="000C6CB0">
            <w:pPr>
              <w:snapToGrid w:val="0"/>
              <w:ind w:left="72"/>
            </w:pPr>
          </w:p>
        </w:tc>
        <w:tc>
          <w:tcPr>
            <w:tcW w:w="5068" w:type="dxa"/>
            <w:tcBorders>
              <w:top w:val="single" w:sz="4" w:space="0" w:color="008080"/>
              <w:left w:val="single" w:sz="4" w:space="0" w:color="008080"/>
              <w:bottom w:val="single" w:sz="4" w:space="0" w:color="008080"/>
              <w:right w:val="single" w:sz="4" w:space="0" w:color="008080"/>
            </w:tcBorders>
            <w:shd w:val="clear" w:color="auto" w:fill="auto"/>
          </w:tcPr>
          <w:p w14:paraId="5062779E" w14:textId="77777777" w:rsidR="000C6CB0" w:rsidRDefault="000C6CB0">
            <w:pPr>
              <w:snapToGrid w:val="0"/>
              <w:ind w:left="72"/>
            </w:pPr>
          </w:p>
        </w:tc>
      </w:tr>
      <w:tr w:rsidR="000C6CB0" w14:paraId="3FFA7165" w14:textId="77777777" w:rsidTr="00B23A17">
        <w:trPr>
          <w:trHeight w:val="23"/>
        </w:trPr>
        <w:tc>
          <w:tcPr>
            <w:tcW w:w="4950" w:type="dxa"/>
            <w:tcBorders>
              <w:top w:val="single" w:sz="4" w:space="0" w:color="008080"/>
              <w:left w:val="single" w:sz="4" w:space="0" w:color="008080"/>
              <w:bottom w:val="single" w:sz="4" w:space="0" w:color="008080"/>
            </w:tcBorders>
            <w:shd w:val="clear" w:color="auto" w:fill="auto"/>
          </w:tcPr>
          <w:p w14:paraId="7CCBA19A" w14:textId="77777777" w:rsidR="000C6CB0" w:rsidRPr="002246CB" w:rsidRDefault="000C6CB0" w:rsidP="002246CB">
            <w:pPr>
              <w:suppressAutoHyphens w:val="0"/>
              <w:autoSpaceDE w:val="0"/>
              <w:autoSpaceDN w:val="0"/>
              <w:adjustRightInd w:val="0"/>
              <w:ind w:left="398" w:hanging="398"/>
              <w:rPr>
                <w:rFonts w:asciiTheme="minorHAnsi" w:hAnsiTheme="minorHAnsi"/>
                <w:sz w:val="22"/>
                <w:lang w:eastAsia="en-US"/>
              </w:rPr>
            </w:pPr>
            <w:r w:rsidRPr="002246CB">
              <w:rPr>
                <w:rFonts w:asciiTheme="minorHAnsi" w:hAnsiTheme="minorHAnsi"/>
                <w:sz w:val="22"/>
                <w:lang w:eastAsia="en-US"/>
              </w:rPr>
              <w:t>6.8 Nurses, other health-care providers, and key stakeholders (e.g., professional associations, health service organizations, advocacy groups) advocate for policy/organizational/system level changes, including the availability of necessary resources, to effectively prevent and address abuse and neglect of older adults.</w:t>
            </w:r>
            <w:r>
              <w:rPr>
                <w:rFonts w:ascii="Calibri" w:hAnsi="Calibri" w:cs="Calibri"/>
                <w:sz w:val="22"/>
                <w:szCs w:val="22"/>
              </w:rPr>
              <w:t xml:space="preserve"> </w:t>
            </w:r>
            <w:r>
              <w:rPr>
                <w:rFonts w:ascii="Calibri" w:hAnsi="Calibri" w:cs="Calibri"/>
                <w:sz w:val="22"/>
                <w:szCs w:val="22"/>
              </w:rPr>
              <w:br/>
            </w:r>
            <w:r>
              <w:rPr>
                <w:rFonts w:ascii="Calibri" w:hAnsi="Calibri" w:cs="Calibri"/>
                <w:color w:val="1F497D"/>
                <w:sz w:val="20"/>
              </w:rPr>
              <w:t>(Level of Evidence = V)</w:t>
            </w:r>
          </w:p>
        </w:tc>
        <w:tc>
          <w:tcPr>
            <w:tcW w:w="504" w:type="dxa"/>
            <w:tcBorders>
              <w:top w:val="single" w:sz="4" w:space="0" w:color="008080"/>
              <w:left w:val="single" w:sz="4" w:space="0" w:color="008080"/>
              <w:bottom w:val="single" w:sz="4" w:space="0" w:color="008080"/>
            </w:tcBorders>
            <w:shd w:val="clear" w:color="auto" w:fill="auto"/>
          </w:tcPr>
          <w:p w14:paraId="2B0397BE" w14:textId="77777777" w:rsidR="000C6CB0" w:rsidRDefault="000C6CB0">
            <w:pPr>
              <w:snapToGrid w:val="0"/>
              <w:ind w:left="72"/>
            </w:pPr>
          </w:p>
        </w:tc>
        <w:tc>
          <w:tcPr>
            <w:tcW w:w="504" w:type="dxa"/>
            <w:tcBorders>
              <w:top w:val="single" w:sz="4" w:space="0" w:color="008080"/>
              <w:left w:val="single" w:sz="4" w:space="0" w:color="008080"/>
              <w:bottom w:val="single" w:sz="4" w:space="0" w:color="008080"/>
            </w:tcBorders>
            <w:shd w:val="clear" w:color="auto" w:fill="auto"/>
          </w:tcPr>
          <w:p w14:paraId="43E1252C" w14:textId="77777777" w:rsidR="000C6CB0" w:rsidRDefault="000C6CB0">
            <w:pPr>
              <w:snapToGrid w:val="0"/>
              <w:ind w:left="72"/>
            </w:pPr>
          </w:p>
        </w:tc>
        <w:tc>
          <w:tcPr>
            <w:tcW w:w="504" w:type="dxa"/>
            <w:tcBorders>
              <w:top w:val="single" w:sz="4" w:space="0" w:color="008080"/>
              <w:left w:val="single" w:sz="4" w:space="0" w:color="008080"/>
              <w:bottom w:val="single" w:sz="4" w:space="0" w:color="008080"/>
            </w:tcBorders>
            <w:shd w:val="clear" w:color="auto" w:fill="auto"/>
          </w:tcPr>
          <w:p w14:paraId="2F5BD7F6" w14:textId="77777777" w:rsidR="000C6CB0" w:rsidRDefault="000C6CB0">
            <w:pPr>
              <w:snapToGrid w:val="0"/>
              <w:ind w:left="72"/>
            </w:pPr>
          </w:p>
        </w:tc>
        <w:tc>
          <w:tcPr>
            <w:tcW w:w="5068" w:type="dxa"/>
            <w:tcBorders>
              <w:top w:val="single" w:sz="4" w:space="0" w:color="008080"/>
              <w:left w:val="single" w:sz="4" w:space="0" w:color="008080"/>
              <w:bottom w:val="single" w:sz="4" w:space="0" w:color="008080"/>
              <w:right w:val="single" w:sz="4" w:space="0" w:color="008080"/>
            </w:tcBorders>
            <w:shd w:val="clear" w:color="auto" w:fill="auto"/>
          </w:tcPr>
          <w:p w14:paraId="7178BD13" w14:textId="77777777" w:rsidR="000C6CB0" w:rsidRDefault="000C6CB0">
            <w:pPr>
              <w:snapToGrid w:val="0"/>
              <w:ind w:left="72"/>
            </w:pPr>
          </w:p>
        </w:tc>
      </w:tr>
    </w:tbl>
    <w:p w14:paraId="05DD1453" w14:textId="77777777" w:rsidR="000C6CB0" w:rsidRDefault="000C6CB0">
      <w:pPr>
        <w:tabs>
          <w:tab w:val="left" w:pos="4692"/>
        </w:tabs>
        <w:rPr>
          <w:rFonts w:ascii="Calibri" w:hAnsi="Calibri" w:cs="Calibri"/>
        </w:rPr>
      </w:pPr>
    </w:p>
    <w:p w14:paraId="348D0121" w14:textId="77777777" w:rsidR="00C21C31" w:rsidRDefault="00C21C31" w:rsidP="006A535E">
      <w:pPr>
        <w:tabs>
          <w:tab w:val="left" w:pos="4692"/>
        </w:tabs>
        <w:jc w:val="center"/>
        <w:rPr>
          <w:rFonts w:ascii="Calibri" w:hAnsi="Calibri"/>
          <w:b/>
          <w:sz w:val="28"/>
        </w:rPr>
      </w:pPr>
    </w:p>
    <w:p w14:paraId="40CA4E10" w14:textId="77777777" w:rsidR="00C21C31" w:rsidRDefault="00C21C31" w:rsidP="003456F3">
      <w:pPr>
        <w:tabs>
          <w:tab w:val="left" w:pos="4692"/>
        </w:tabs>
        <w:rPr>
          <w:rFonts w:ascii="Calibri" w:hAnsi="Calibri"/>
          <w:b/>
          <w:sz w:val="28"/>
        </w:rPr>
      </w:pPr>
    </w:p>
    <w:sectPr w:rsidR="00C21C31" w:rsidSect="006A535E">
      <w:headerReference w:type="default" r:id="rId17"/>
      <w:footerReference w:type="default" r:id="rId18"/>
      <w:pgSz w:w="12240" w:h="15840"/>
      <w:pgMar w:top="1151" w:right="1008" w:bottom="572" w:left="1008" w:header="578" w:footer="578" w:gutter="0"/>
      <w:pgBorders w:display="firstPage" w:offsetFrom="page">
        <w:top w:val="single" w:sz="18" w:space="24" w:color="4F6228"/>
        <w:left w:val="single" w:sz="18" w:space="24" w:color="4F6228"/>
        <w:bottom w:val="single" w:sz="18" w:space="24" w:color="4F6228"/>
        <w:right w:val="single" w:sz="18" w:space="24" w:color="4F6228"/>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16586" w14:textId="77777777" w:rsidR="00352A61" w:rsidRDefault="00352A61">
      <w:r>
        <w:separator/>
      </w:r>
    </w:p>
  </w:endnote>
  <w:endnote w:type="continuationSeparator" w:id="0">
    <w:p w14:paraId="3D4C1323" w14:textId="77777777" w:rsidR="00352A61" w:rsidRDefault="00352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B34B1" w14:textId="77777777" w:rsidR="000C6CB0" w:rsidRDefault="000C6CB0">
    <w:pPr>
      <w:pBdr>
        <w:top w:val="single" w:sz="8" w:space="1" w:color="008080"/>
        <w:left w:val="none" w:sz="0" w:space="0" w:color="000000"/>
        <w:bottom w:val="none" w:sz="0" w:space="0" w:color="000000"/>
        <w:right w:val="none" w:sz="0" w:space="0" w:color="000000"/>
      </w:pBdr>
      <w:jc w:val="center"/>
    </w:pPr>
    <w:r>
      <w:rPr>
        <w:rFonts w:ascii="Calibri" w:hAnsi="Calibri" w:cs="Calibri"/>
        <w:i/>
        <w:color w:val="006A65"/>
        <w:sz w:val="20"/>
      </w:rPr>
      <w:t>Gap Analysis – March 2017</w:t>
    </w:r>
    <w:r>
      <w:rPr>
        <w:rFonts w:ascii="Calibri" w:hAnsi="Calibri" w:cs="Calibri"/>
        <w:i/>
        <w:color w:val="006A65"/>
        <w:sz w:val="20"/>
      </w:rPr>
      <w:tab/>
    </w:r>
    <w:r>
      <w:rPr>
        <w:rFonts w:ascii="Calibri" w:hAnsi="Calibri" w:cs="Calibri"/>
        <w:i/>
        <w:color w:val="006A65"/>
        <w:sz w:val="20"/>
      </w:rPr>
      <w:tab/>
    </w:r>
    <w:r>
      <w:rPr>
        <w:rFonts w:ascii="Calibri" w:hAnsi="Calibri" w:cs="Calibri"/>
        <w:i/>
        <w:color w:val="006A65"/>
        <w:sz w:val="20"/>
      </w:rPr>
      <w:tab/>
    </w:r>
    <w:r>
      <w:rPr>
        <w:rFonts w:ascii="Calibri" w:hAnsi="Calibri" w:cs="Calibri"/>
        <w:i/>
        <w:color w:val="006A65"/>
        <w:sz w:val="20"/>
      </w:rPr>
      <w:tab/>
    </w:r>
    <w:r>
      <w:rPr>
        <w:rFonts w:ascii="Calibri" w:hAnsi="Calibri" w:cs="Calibri"/>
        <w:i/>
        <w:color w:val="006A65"/>
        <w:sz w:val="20"/>
      </w:rPr>
      <w:tab/>
    </w:r>
    <w:r>
      <w:rPr>
        <w:rFonts w:ascii="Calibri" w:hAnsi="Calibri" w:cs="Calibri"/>
        <w:i/>
        <w:color w:val="006A65"/>
        <w:sz w:val="20"/>
      </w:rPr>
      <w:tab/>
    </w:r>
    <w:r>
      <w:rPr>
        <w:rFonts w:ascii="Calibri" w:hAnsi="Calibri" w:cs="Calibri"/>
        <w:i/>
        <w:color w:val="006A65"/>
        <w:sz w:val="20"/>
      </w:rPr>
      <w:tab/>
    </w:r>
    <w:r>
      <w:rPr>
        <w:rFonts w:ascii="Calibri" w:hAnsi="Calibri" w:cs="Calibri"/>
        <w:i/>
        <w:color w:val="006A65"/>
        <w:sz w:val="20"/>
      </w:rPr>
      <w:tab/>
      <w:t xml:space="preserve">Page </w:t>
    </w:r>
    <w:r>
      <w:rPr>
        <w:rFonts w:cs="Calibri"/>
        <w:i/>
        <w:color w:val="006A65"/>
        <w:sz w:val="20"/>
      </w:rPr>
      <w:fldChar w:fldCharType="begin"/>
    </w:r>
    <w:r>
      <w:rPr>
        <w:rFonts w:cs="Calibri"/>
        <w:i/>
        <w:color w:val="006A65"/>
        <w:sz w:val="20"/>
      </w:rPr>
      <w:instrText xml:space="preserve"> PAGE </w:instrText>
    </w:r>
    <w:r>
      <w:rPr>
        <w:rFonts w:cs="Calibri"/>
        <w:i/>
        <w:color w:val="006A65"/>
        <w:sz w:val="20"/>
      </w:rPr>
      <w:fldChar w:fldCharType="separate"/>
    </w:r>
    <w:r w:rsidR="00E553AE">
      <w:rPr>
        <w:rFonts w:cs="Calibri"/>
        <w:i/>
        <w:noProof/>
        <w:color w:val="006A65"/>
        <w:sz w:val="20"/>
      </w:rPr>
      <w:t>8</w:t>
    </w:r>
    <w:r>
      <w:rPr>
        <w:rFonts w:cs="Calibri"/>
        <w:i/>
        <w:color w:val="006A65"/>
        <w:sz w:val="20"/>
      </w:rPr>
      <w:fldChar w:fldCharType="end"/>
    </w:r>
    <w:r>
      <w:rPr>
        <w:rFonts w:ascii="Calibri" w:hAnsi="Calibri" w:cs="Calibri"/>
        <w:i/>
        <w:color w:val="006A65"/>
        <w:sz w:val="20"/>
      </w:rPr>
      <w:t xml:space="preserve"> of </w:t>
    </w:r>
    <w:r>
      <w:rPr>
        <w:rFonts w:cs="Calibri"/>
        <w:i/>
        <w:color w:val="006A65"/>
        <w:sz w:val="20"/>
      </w:rPr>
      <w:fldChar w:fldCharType="begin"/>
    </w:r>
    <w:r>
      <w:rPr>
        <w:rFonts w:cs="Calibri"/>
        <w:i/>
        <w:color w:val="006A65"/>
        <w:sz w:val="20"/>
      </w:rPr>
      <w:instrText xml:space="preserve"> NUMPAGES \* ARABIC </w:instrText>
    </w:r>
    <w:r>
      <w:rPr>
        <w:rFonts w:cs="Calibri"/>
        <w:i/>
        <w:color w:val="006A65"/>
        <w:sz w:val="20"/>
      </w:rPr>
      <w:fldChar w:fldCharType="separate"/>
    </w:r>
    <w:r w:rsidR="00E553AE">
      <w:rPr>
        <w:rFonts w:cs="Calibri"/>
        <w:i/>
        <w:noProof/>
        <w:color w:val="006A65"/>
        <w:sz w:val="20"/>
      </w:rPr>
      <w:t>8</w:t>
    </w:r>
    <w:r>
      <w:rPr>
        <w:rFonts w:cs="Calibri"/>
        <w:i/>
        <w:color w:val="006A65"/>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BB83E" w14:textId="77777777" w:rsidR="00352A61" w:rsidRDefault="00352A61">
      <w:r>
        <w:separator/>
      </w:r>
    </w:p>
  </w:footnote>
  <w:footnote w:type="continuationSeparator" w:id="0">
    <w:p w14:paraId="0C9CFC7B" w14:textId="77777777" w:rsidR="00352A61" w:rsidRDefault="00352A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FA9DF" w14:textId="77777777" w:rsidR="000C6CB0" w:rsidRDefault="000C6CB0" w:rsidP="006A535E">
    <w:pPr>
      <w:jc w:val="center"/>
    </w:pPr>
    <w:r>
      <w:rPr>
        <w:rFonts w:ascii="Calibri" w:hAnsi="Calibri" w:cs="Calibri"/>
        <w:b/>
        <w:color w:val="003366"/>
        <w:szCs w:val="36"/>
      </w:rPr>
      <w:t xml:space="preserve">Gap Analysis – </w:t>
    </w:r>
    <w:r w:rsidRPr="00AE5BF6">
      <w:rPr>
        <w:rFonts w:ascii="Calibri" w:hAnsi="Calibri" w:cs="Calibri"/>
        <w:b/>
        <w:i/>
        <w:color w:val="003366"/>
        <w:szCs w:val="36"/>
      </w:rPr>
      <w:t>Preventing and Addressing Abuse and Neglect of Older Adults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4"/>
    <w:lvl w:ilvl="0">
      <w:start w:val="1"/>
      <w:numFmt w:val="bullet"/>
      <w:lvlText w:val=""/>
      <w:lvlJc w:val="left"/>
      <w:pPr>
        <w:tabs>
          <w:tab w:val="num" w:pos="0"/>
        </w:tabs>
        <w:ind w:left="360" w:hanging="360"/>
      </w:pPr>
      <w:rPr>
        <w:rFonts w:ascii="Symbol" w:hAnsi="Symbol" w:cs="Symbol" w:hint="default"/>
      </w:rPr>
    </w:lvl>
  </w:abstractNum>
  <w:abstractNum w:abstractNumId="2" w15:restartNumberingAfterBreak="0">
    <w:nsid w:val="00000003"/>
    <w:multiLevelType w:val="singleLevel"/>
    <w:tmpl w:val="00000003"/>
    <w:name w:val="WW8Num5"/>
    <w:lvl w:ilvl="0">
      <w:start w:val="1"/>
      <w:numFmt w:val="bullet"/>
      <w:lvlText w:val=""/>
      <w:lvlJc w:val="left"/>
      <w:pPr>
        <w:tabs>
          <w:tab w:val="num" w:pos="0"/>
        </w:tabs>
        <w:ind w:left="720" w:hanging="360"/>
      </w:pPr>
      <w:rPr>
        <w:rFonts w:ascii="Symbol" w:hAnsi="Symbol" w:cs="Symbol" w:hint="default"/>
      </w:rPr>
    </w:lvl>
  </w:abstractNum>
  <w:abstractNum w:abstractNumId="3" w15:restartNumberingAfterBreak="0">
    <w:nsid w:val="00000004"/>
    <w:multiLevelType w:val="singleLevel"/>
    <w:tmpl w:val="00000004"/>
    <w:name w:val="WW8Num6"/>
    <w:lvl w:ilvl="0">
      <w:start w:val="1"/>
      <w:numFmt w:val="bullet"/>
      <w:lvlText w:val=""/>
      <w:lvlJc w:val="left"/>
      <w:pPr>
        <w:tabs>
          <w:tab w:val="num" w:pos="792"/>
        </w:tabs>
        <w:ind w:left="792" w:hanging="360"/>
      </w:pPr>
      <w:rPr>
        <w:rFonts w:ascii="Symbol" w:hAnsi="Symbol" w:cs="Symbol" w:hint="default"/>
        <w:sz w:val="22"/>
        <w:szCs w:val="22"/>
      </w:rPr>
    </w:lvl>
  </w:abstractNum>
  <w:abstractNum w:abstractNumId="4" w15:restartNumberingAfterBreak="0">
    <w:nsid w:val="00000005"/>
    <w:multiLevelType w:val="singleLevel"/>
    <w:tmpl w:val="00000005"/>
    <w:name w:val="WW8Num7"/>
    <w:lvl w:ilvl="0">
      <w:start w:val="1"/>
      <w:numFmt w:val="bullet"/>
      <w:lvlText w:val=""/>
      <w:lvlJc w:val="left"/>
      <w:pPr>
        <w:tabs>
          <w:tab w:val="num" w:pos="720"/>
        </w:tabs>
        <w:ind w:left="720" w:hanging="360"/>
      </w:pPr>
      <w:rPr>
        <w:rFonts w:ascii="Symbol" w:hAnsi="Symbol" w:cs="Symbol" w:hint="default"/>
        <w:sz w:val="22"/>
      </w:rPr>
    </w:lvl>
  </w:abstractNum>
  <w:abstractNum w:abstractNumId="5" w15:restartNumberingAfterBreak="0">
    <w:nsid w:val="05926619"/>
    <w:multiLevelType w:val="hybridMultilevel"/>
    <w:tmpl w:val="535EBD66"/>
    <w:lvl w:ilvl="0" w:tplc="10090001">
      <w:start w:val="1"/>
      <w:numFmt w:val="bullet"/>
      <w:lvlText w:val=""/>
      <w:lvlJc w:val="left"/>
      <w:pPr>
        <w:ind w:left="758" w:hanging="360"/>
      </w:pPr>
      <w:rPr>
        <w:rFonts w:ascii="Symbol" w:hAnsi="Symbol" w:hint="default"/>
      </w:rPr>
    </w:lvl>
    <w:lvl w:ilvl="1" w:tplc="10090003" w:tentative="1">
      <w:start w:val="1"/>
      <w:numFmt w:val="bullet"/>
      <w:lvlText w:val="o"/>
      <w:lvlJc w:val="left"/>
      <w:pPr>
        <w:ind w:left="1478" w:hanging="360"/>
      </w:pPr>
      <w:rPr>
        <w:rFonts w:ascii="Courier New" w:hAnsi="Courier New" w:cs="Courier New" w:hint="default"/>
      </w:rPr>
    </w:lvl>
    <w:lvl w:ilvl="2" w:tplc="10090005" w:tentative="1">
      <w:start w:val="1"/>
      <w:numFmt w:val="bullet"/>
      <w:lvlText w:val=""/>
      <w:lvlJc w:val="left"/>
      <w:pPr>
        <w:ind w:left="2198" w:hanging="360"/>
      </w:pPr>
      <w:rPr>
        <w:rFonts w:ascii="Wingdings" w:hAnsi="Wingdings" w:hint="default"/>
      </w:rPr>
    </w:lvl>
    <w:lvl w:ilvl="3" w:tplc="10090001" w:tentative="1">
      <w:start w:val="1"/>
      <w:numFmt w:val="bullet"/>
      <w:lvlText w:val=""/>
      <w:lvlJc w:val="left"/>
      <w:pPr>
        <w:ind w:left="2918" w:hanging="360"/>
      </w:pPr>
      <w:rPr>
        <w:rFonts w:ascii="Symbol" w:hAnsi="Symbol" w:hint="default"/>
      </w:rPr>
    </w:lvl>
    <w:lvl w:ilvl="4" w:tplc="10090003" w:tentative="1">
      <w:start w:val="1"/>
      <w:numFmt w:val="bullet"/>
      <w:lvlText w:val="o"/>
      <w:lvlJc w:val="left"/>
      <w:pPr>
        <w:ind w:left="3638" w:hanging="360"/>
      </w:pPr>
      <w:rPr>
        <w:rFonts w:ascii="Courier New" w:hAnsi="Courier New" w:cs="Courier New" w:hint="default"/>
      </w:rPr>
    </w:lvl>
    <w:lvl w:ilvl="5" w:tplc="10090005" w:tentative="1">
      <w:start w:val="1"/>
      <w:numFmt w:val="bullet"/>
      <w:lvlText w:val=""/>
      <w:lvlJc w:val="left"/>
      <w:pPr>
        <w:ind w:left="4358" w:hanging="360"/>
      </w:pPr>
      <w:rPr>
        <w:rFonts w:ascii="Wingdings" w:hAnsi="Wingdings" w:hint="default"/>
      </w:rPr>
    </w:lvl>
    <w:lvl w:ilvl="6" w:tplc="10090001" w:tentative="1">
      <w:start w:val="1"/>
      <w:numFmt w:val="bullet"/>
      <w:lvlText w:val=""/>
      <w:lvlJc w:val="left"/>
      <w:pPr>
        <w:ind w:left="5078" w:hanging="360"/>
      </w:pPr>
      <w:rPr>
        <w:rFonts w:ascii="Symbol" w:hAnsi="Symbol" w:hint="default"/>
      </w:rPr>
    </w:lvl>
    <w:lvl w:ilvl="7" w:tplc="10090003" w:tentative="1">
      <w:start w:val="1"/>
      <w:numFmt w:val="bullet"/>
      <w:lvlText w:val="o"/>
      <w:lvlJc w:val="left"/>
      <w:pPr>
        <w:ind w:left="5798" w:hanging="360"/>
      </w:pPr>
      <w:rPr>
        <w:rFonts w:ascii="Courier New" w:hAnsi="Courier New" w:cs="Courier New" w:hint="default"/>
      </w:rPr>
    </w:lvl>
    <w:lvl w:ilvl="8" w:tplc="10090005" w:tentative="1">
      <w:start w:val="1"/>
      <w:numFmt w:val="bullet"/>
      <w:lvlText w:val=""/>
      <w:lvlJc w:val="left"/>
      <w:pPr>
        <w:ind w:left="6518" w:hanging="360"/>
      </w:pPr>
      <w:rPr>
        <w:rFonts w:ascii="Wingdings" w:hAnsi="Wingdings" w:hint="default"/>
      </w:rPr>
    </w:lvl>
  </w:abstractNum>
  <w:abstractNum w:abstractNumId="6" w15:restartNumberingAfterBreak="0">
    <w:nsid w:val="30A017EB"/>
    <w:multiLevelType w:val="hybridMultilevel"/>
    <w:tmpl w:val="3EE6668A"/>
    <w:lvl w:ilvl="0" w:tplc="46F6B99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22C731B"/>
    <w:multiLevelType w:val="hybridMultilevel"/>
    <w:tmpl w:val="5366D2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77D3CBB"/>
    <w:multiLevelType w:val="hybridMultilevel"/>
    <w:tmpl w:val="D910F1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EC91E33"/>
    <w:multiLevelType w:val="hybridMultilevel"/>
    <w:tmpl w:val="223A57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785146934">
    <w:abstractNumId w:val="0"/>
  </w:num>
  <w:num w:numId="2" w16cid:durableId="897402163">
    <w:abstractNumId w:val="1"/>
  </w:num>
  <w:num w:numId="3" w16cid:durableId="978417515">
    <w:abstractNumId w:val="2"/>
  </w:num>
  <w:num w:numId="4" w16cid:durableId="1291591098">
    <w:abstractNumId w:val="3"/>
  </w:num>
  <w:num w:numId="5" w16cid:durableId="780993384">
    <w:abstractNumId w:val="4"/>
  </w:num>
  <w:num w:numId="6" w16cid:durableId="2146923952">
    <w:abstractNumId w:val="5"/>
  </w:num>
  <w:num w:numId="7" w16cid:durableId="1817263549">
    <w:abstractNumId w:val="7"/>
  </w:num>
  <w:num w:numId="8" w16cid:durableId="20936590">
    <w:abstractNumId w:val="9"/>
  </w:num>
  <w:num w:numId="9" w16cid:durableId="1205751906">
    <w:abstractNumId w:val="8"/>
  </w:num>
  <w:num w:numId="10" w16cid:durableId="202081655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120"/>
  <w:drawingGridVerticalSpacing w:val="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A17"/>
    <w:rsid w:val="000162D0"/>
    <w:rsid w:val="00017418"/>
    <w:rsid w:val="000C6CB0"/>
    <w:rsid w:val="000C7834"/>
    <w:rsid w:val="000E27F5"/>
    <w:rsid w:val="000F1748"/>
    <w:rsid w:val="001D78CE"/>
    <w:rsid w:val="002154EF"/>
    <w:rsid w:val="002246CB"/>
    <w:rsid w:val="00263261"/>
    <w:rsid w:val="00264FB7"/>
    <w:rsid w:val="00267CCF"/>
    <w:rsid w:val="002A7F3A"/>
    <w:rsid w:val="003043D7"/>
    <w:rsid w:val="003233AC"/>
    <w:rsid w:val="003456F3"/>
    <w:rsid w:val="00352A61"/>
    <w:rsid w:val="003F658D"/>
    <w:rsid w:val="005C1DD7"/>
    <w:rsid w:val="005E399E"/>
    <w:rsid w:val="00615702"/>
    <w:rsid w:val="00697497"/>
    <w:rsid w:val="006A535E"/>
    <w:rsid w:val="00792AC4"/>
    <w:rsid w:val="00876843"/>
    <w:rsid w:val="00894122"/>
    <w:rsid w:val="008F4B40"/>
    <w:rsid w:val="009752AE"/>
    <w:rsid w:val="00985613"/>
    <w:rsid w:val="009C6075"/>
    <w:rsid w:val="009E7A4C"/>
    <w:rsid w:val="00AE5BF6"/>
    <w:rsid w:val="00B23A17"/>
    <w:rsid w:val="00B816B5"/>
    <w:rsid w:val="00C21C31"/>
    <w:rsid w:val="00E553AE"/>
    <w:rsid w:val="00E90E68"/>
    <w:rsid w:val="00ED13F3"/>
    <w:rsid w:val="00F46358"/>
    <w:rsid w:val="00F6022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C1B758A"/>
  <w15:docId w15:val="{B462043A-9DB2-4538-AFB1-EC10D018E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ascii="Symbol" w:hAnsi="Symbol" w:cs="Symbol" w:hint="default"/>
      <w:sz w:val="22"/>
      <w:szCs w:val="22"/>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ascii="Symbol" w:hAnsi="Symbol" w:cs="Symbol" w:hint="default"/>
      <w:sz w:val="22"/>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HeaderChar">
    <w:name w:val="Header Char"/>
    <w:basedOn w:val="DefaultParagraphFont"/>
    <w:rPr>
      <w:rFonts w:ascii="Times New Roman" w:eastAsia="Times New Roman" w:hAnsi="Times New Roman" w:cs="Times New Roman"/>
      <w:sz w:val="24"/>
      <w:szCs w:val="24"/>
    </w:rPr>
  </w:style>
  <w:style w:type="character" w:customStyle="1" w:styleId="FooterChar">
    <w:name w:val="Footer Char"/>
    <w:basedOn w:val="DefaultParagraphFont"/>
    <w:rPr>
      <w:rFonts w:ascii="Times New Roman" w:eastAsia="Times New Roman" w:hAnsi="Times New Roman" w:cs="Times New Roman"/>
      <w:sz w:val="24"/>
      <w:szCs w:val="24"/>
    </w:rPr>
  </w:style>
  <w:style w:type="character" w:customStyle="1" w:styleId="BalloonTextChar">
    <w:name w:val="Balloon Text Char"/>
    <w:basedOn w:val="DefaultParagraphFont"/>
    <w:rPr>
      <w:rFonts w:ascii="Tahoma" w:eastAsia="Times New Roman" w:hAnsi="Tahoma" w:cs="Tahoma"/>
      <w:sz w:val="16"/>
      <w:szCs w:val="16"/>
    </w:rPr>
  </w:style>
  <w:style w:type="character" w:styleId="Hyperlink">
    <w:name w:val="Hyperlink"/>
    <w:basedOn w:val="DefaultParagraphFont"/>
    <w:uiPriority w:val="99"/>
    <w:rPr>
      <w:color w:val="0000FF"/>
      <w:u w:val="single"/>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rFonts w:ascii="Times New Roman" w:eastAsia="Times New Roman" w:hAnsi="Times New Roman" w:cs="Times New Roman"/>
      <w:lang w:val="en-US"/>
    </w:rPr>
  </w:style>
  <w:style w:type="character" w:customStyle="1" w:styleId="CommentSubjectChar">
    <w:name w:val="Comment Subject Char"/>
    <w:basedOn w:val="CommentTextChar"/>
    <w:rPr>
      <w:rFonts w:ascii="Times New Roman" w:eastAsia="Times New Roman" w:hAnsi="Times New Roman" w:cs="Times New Roman"/>
      <w:b/>
      <w:bCs/>
      <w:lang w:val="en-US"/>
    </w:rPr>
  </w:style>
  <w:style w:type="paragraph" w:customStyle="1" w:styleId="Heading">
    <w:name w:val="Heading"/>
    <w:basedOn w:val="Normal"/>
    <w:next w:val="BodyTex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paragraph-e">
    <w:name w:val="paragraph-e"/>
    <w:basedOn w:val="Normal"/>
    <w:pPr>
      <w:snapToGrid w:val="0"/>
      <w:spacing w:after="120"/>
      <w:ind w:left="1117" w:hanging="400"/>
    </w:pPr>
    <w:rPr>
      <w:color w:val="000000"/>
      <w:sz w:val="26"/>
      <w:szCs w:val="26"/>
    </w:rPr>
  </w:style>
  <w:style w:type="paragraph" w:customStyle="1" w:styleId="section-e">
    <w:name w:val="section-e"/>
    <w:basedOn w:val="Normal"/>
    <w:pPr>
      <w:snapToGrid w:val="0"/>
      <w:spacing w:after="120"/>
      <w:ind w:firstLine="600"/>
    </w:pPr>
    <w:rPr>
      <w:color w:val="000000"/>
      <w:sz w:val="26"/>
      <w:szCs w:val="26"/>
    </w:rPr>
  </w:style>
  <w:style w:type="paragraph" w:customStyle="1" w:styleId="headnote-e">
    <w:name w:val="headnote-e"/>
    <w:basedOn w:val="Normal"/>
    <w:pPr>
      <w:keepNext/>
      <w:snapToGrid w:val="0"/>
    </w:pPr>
    <w:rPr>
      <w:b/>
      <w:bCs/>
      <w:color w:val="000000"/>
      <w:sz w:val="26"/>
      <w:szCs w:val="26"/>
    </w:rPr>
  </w:style>
  <w:style w:type="paragraph" w:customStyle="1" w:styleId="clause-e">
    <w:name w:val="clause-e"/>
    <w:basedOn w:val="Normal"/>
    <w:pPr>
      <w:snapToGrid w:val="0"/>
      <w:spacing w:after="120"/>
      <w:ind w:left="1111" w:hanging="400"/>
    </w:pPr>
    <w:rPr>
      <w:color w:val="000000"/>
      <w:sz w:val="26"/>
      <w:szCs w:val="26"/>
    </w:rPr>
  </w:style>
  <w:style w:type="paragraph" w:customStyle="1" w:styleId="subclause-e">
    <w:name w:val="subclause-e"/>
    <w:basedOn w:val="Normal"/>
    <w:pPr>
      <w:snapToGrid w:val="0"/>
      <w:spacing w:after="120"/>
      <w:ind w:left="1673" w:hanging="400"/>
    </w:pPr>
    <w:rPr>
      <w:color w:val="000000"/>
      <w:sz w:val="26"/>
      <w:szCs w:val="26"/>
    </w:rPr>
  </w:style>
  <w:style w:type="paragraph" w:styleId="Header">
    <w:name w:val="header"/>
    <w:basedOn w:val="Normal"/>
  </w:style>
  <w:style w:type="paragraph" w:styleId="Footer">
    <w:name w:val="footer"/>
    <w:basedOn w:val="Normal"/>
  </w:style>
  <w:style w:type="paragraph" w:styleId="BalloonText">
    <w:name w:val="Balloon Text"/>
    <w:basedOn w:val="Normal"/>
    <w:rPr>
      <w:rFonts w:ascii="Tahoma" w:hAnsi="Tahoma" w:cs="Tahoma"/>
      <w:sz w:val="16"/>
      <w:szCs w:val="16"/>
    </w:rPr>
  </w:style>
  <w:style w:type="paragraph" w:customStyle="1" w:styleId="subsection-e">
    <w:name w:val="subsection-e"/>
    <w:basedOn w:val="Normal"/>
    <w:pPr>
      <w:snapToGrid w:val="0"/>
      <w:spacing w:after="120"/>
      <w:ind w:firstLine="600"/>
    </w:pPr>
    <w:rPr>
      <w:color w:val="000000"/>
      <w:sz w:val="26"/>
      <w:szCs w:val="26"/>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styleId="ListParagraph">
    <w:name w:val="List Paragraph"/>
    <w:basedOn w:val="Normal"/>
    <w:qFormat/>
    <w:pPr>
      <w:ind w:left="720"/>
      <w:contextualSpacing/>
    </w:pPr>
  </w:style>
  <w:style w:type="paragraph" w:customStyle="1" w:styleId="firstdef-e">
    <w:name w:val="firstdef-e"/>
    <w:basedOn w:val="Normal"/>
    <w:pPr>
      <w:spacing w:before="280" w:after="280"/>
    </w:pPr>
    <w:rPr>
      <w:lang w:val="en-CA"/>
    </w:rPr>
  </w:style>
  <w:style w:type="paragraph" w:customStyle="1" w:styleId="defclause-e">
    <w:name w:val="defclause-e"/>
    <w:basedOn w:val="Normal"/>
    <w:pPr>
      <w:spacing w:before="280" w:after="280"/>
    </w:pPr>
    <w:rPr>
      <w:lang w:val="en-CA"/>
    </w:rPr>
  </w:style>
  <w:style w:type="paragraph" w:customStyle="1" w:styleId="definition-e">
    <w:name w:val="definition-e"/>
    <w:basedOn w:val="Normal"/>
    <w:pPr>
      <w:spacing w:before="280" w:after="280"/>
    </w:pPr>
    <w:rPr>
      <w:lang w:val="en-C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styleId="TableGrid">
    <w:name w:val="Table Grid"/>
    <w:basedOn w:val="TableNormal"/>
    <w:uiPriority w:val="59"/>
    <w:unhideWhenUsed/>
    <w:rsid w:val="003456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154EF"/>
    <w:rPr>
      <w:color w:val="800080" w:themeColor="followedHyperlink"/>
      <w:u w:val="single"/>
    </w:rPr>
  </w:style>
  <w:style w:type="character" w:styleId="UnresolvedMention">
    <w:name w:val="Unresolved Mention"/>
    <w:basedOn w:val="DefaultParagraphFont"/>
    <w:uiPriority w:val="99"/>
    <w:semiHidden/>
    <w:unhideWhenUsed/>
    <w:rsid w:val="00ED13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em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tctoolkit.rnao.ca/clinical-topics/prevention-abuse-neglec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ontario.ca/laws/regulation/r22246"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nao.ca/leading-change-toolkit" TargetMode="External"/><Relationship Id="rId5" Type="http://schemas.openxmlformats.org/officeDocument/2006/relationships/webSettings" Target="webSettings.xml"/><Relationship Id="rId15" Type="http://schemas.openxmlformats.org/officeDocument/2006/relationships/hyperlink" Target="https://www.ontario.ca/laws/statute/21f39" TargetMode="External"/><Relationship Id="rId10" Type="http://schemas.openxmlformats.org/officeDocument/2006/relationships/hyperlink" Target="http://rnao.ca/bpg/guidelines/abuse-and-neglect-older-adults%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package" Target="embeddings/Microsoft_Word_Document.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5AC0F-EAF8-4E52-A978-12EF34D25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1159</Words>
  <Characters>6607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Work Sheet</vt:lpstr>
    </vt:vector>
  </TitlesOfParts>
  <Company/>
  <LinksUpToDate>false</LinksUpToDate>
  <CharactersWithSpaces>7751</CharactersWithSpaces>
  <SharedDoc>false</SharedDoc>
  <HLinks>
    <vt:vector size="12" baseType="variant">
      <vt:variant>
        <vt:i4>4128874</vt:i4>
      </vt:variant>
      <vt:variant>
        <vt:i4>3</vt:i4>
      </vt:variant>
      <vt:variant>
        <vt:i4>0</vt:i4>
      </vt:variant>
      <vt:variant>
        <vt:i4>5</vt:i4>
      </vt:variant>
      <vt:variant>
        <vt:lpwstr>http://rnao.ca/bpg/resources/toolkit-implementation-best-practice-guidelines-second-edition</vt:lpwstr>
      </vt:variant>
      <vt:variant>
        <vt:lpwstr/>
      </vt:variant>
      <vt:variant>
        <vt:i4>7274539</vt:i4>
      </vt:variant>
      <vt:variant>
        <vt:i4>0</vt:i4>
      </vt:variant>
      <vt:variant>
        <vt:i4>0</vt:i4>
      </vt:variant>
      <vt:variant>
        <vt:i4>5</vt:i4>
      </vt:variant>
      <vt:variant>
        <vt:lpwstr>http://rnao.ca/bpg/guidelines/abuse-and-neglect-older-adults%20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Sheet</dc:title>
  <dc:creator>josies</dc:creator>
  <cp:lastModifiedBy>Suzanne Sweeney</cp:lastModifiedBy>
  <cp:revision>2</cp:revision>
  <cp:lastPrinted>1900-01-01T05:00:00Z</cp:lastPrinted>
  <dcterms:created xsi:type="dcterms:W3CDTF">2022-07-20T20:31:00Z</dcterms:created>
  <dcterms:modified xsi:type="dcterms:W3CDTF">2022-07-20T20:31:00Z</dcterms:modified>
</cp:coreProperties>
</file>